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80" w:rsidRDefault="005D6980" w:rsidP="00B9703B">
      <w:pPr>
        <w:autoSpaceDE w:val="0"/>
        <w:autoSpaceDN w:val="0"/>
        <w:adjustRightInd w:val="0"/>
        <w:spacing w:afterLines="50" w:after="180"/>
        <w:jc w:val="center"/>
        <w:rPr>
          <w:rFonts w:eastAsia="標楷體" w:hAnsi="標楷體"/>
          <w:sz w:val="36"/>
          <w:szCs w:val="36"/>
          <w:lang w:val="zh-TW"/>
        </w:rPr>
      </w:pPr>
      <w:r w:rsidRPr="008D0997">
        <w:rPr>
          <w:rFonts w:eastAsia="標楷體" w:hAnsi="標楷體"/>
          <w:sz w:val="36"/>
          <w:szCs w:val="36"/>
          <w:lang w:val="zh-TW"/>
        </w:rPr>
        <w:t>國立高雄大學</w:t>
      </w:r>
      <w:r>
        <w:rPr>
          <w:rFonts w:eastAsia="標楷體" w:hAnsi="標楷體" w:hint="eastAsia"/>
          <w:sz w:val="36"/>
          <w:szCs w:val="36"/>
          <w:lang w:val="zh-TW"/>
        </w:rPr>
        <w:t>「健康及仿生科技</w:t>
      </w:r>
      <w:r w:rsidRPr="008D0997">
        <w:rPr>
          <w:rFonts w:eastAsia="標楷體" w:hAnsi="標楷體"/>
          <w:sz w:val="36"/>
          <w:szCs w:val="36"/>
          <w:lang w:val="zh-TW"/>
        </w:rPr>
        <w:t>研究中心</w:t>
      </w:r>
      <w:r>
        <w:rPr>
          <w:rFonts w:eastAsia="標楷體" w:hAnsi="標楷體" w:hint="eastAsia"/>
          <w:sz w:val="36"/>
          <w:szCs w:val="36"/>
          <w:lang w:val="zh-TW"/>
        </w:rPr>
        <w:t>」</w:t>
      </w:r>
      <w:r w:rsidRPr="008D0997">
        <w:rPr>
          <w:rFonts w:eastAsia="標楷體" w:hAnsi="標楷體"/>
          <w:sz w:val="36"/>
          <w:szCs w:val="36"/>
          <w:lang w:val="zh-TW"/>
        </w:rPr>
        <w:t>設置計畫書</w:t>
      </w:r>
    </w:p>
    <w:p w:rsidR="005D6980" w:rsidRPr="00A85E58" w:rsidRDefault="00A85E58" w:rsidP="00A85E58">
      <w:pPr>
        <w:autoSpaceDE w:val="0"/>
        <w:autoSpaceDN w:val="0"/>
        <w:adjustRightInd w:val="0"/>
        <w:spacing w:line="320" w:lineRule="exact"/>
        <w:jc w:val="right"/>
        <w:rPr>
          <w:rFonts w:ascii="標楷體" w:eastAsia="標楷體" w:hAnsi="標楷體"/>
          <w:sz w:val="20"/>
          <w:szCs w:val="20"/>
          <w:lang w:val="zh-TW"/>
        </w:rPr>
      </w:pPr>
      <w:r w:rsidRPr="00A85E58">
        <w:rPr>
          <w:rFonts w:ascii="標楷體" w:eastAsia="標楷體" w:hAnsi="標楷體" w:hint="eastAsia"/>
          <w:sz w:val="20"/>
          <w:szCs w:val="20"/>
          <w:lang w:val="zh-TW"/>
        </w:rPr>
        <w:t>民國1</w:t>
      </w:r>
      <w:r w:rsidR="005D6980" w:rsidRPr="00A85E58">
        <w:rPr>
          <w:rFonts w:ascii="標楷體" w:eastAsia="標楷體" w:hAnsi="標楷體" w:hint="eastAsia"/>
          <w:sz w:val="20"/>
          <w:szCs w:val="20"/>
          <w:lang w:val="zh-TW"/>
        </w:rPr>
        <w:t>03年10月8日</w:t>
      </w:r>
      <w:r w:rsidRPr="00A85E58">
        <w:rPr>
          <w:rFonts w:ascii="標楷體" w:eastAsia="標楷體" w:hAnsi="標楷體" w:hint="eastAsia"/>
          <w:sz w:val="20"/>
          <w:szCs w:val="20"/>
          <w:lang w:val="zh-TW"/>
        </w:rPr>
        <w:t>工學院</w:t>
      </w:r>
      <w:r w:rsidR="005D6980" w:rsidRPr="00A85E58">
        <w:rPr>
          <w:rFonts w:ascii="標楷體" w:eastAsia="標楷體" w:hAnsi="標楷體" w:hint="eastAsia"/>
          <w:sz w:val="20"/>
          <w:szCs w:val="20"/>
          <w:lang w:val="zh-TW"/>
        </w:rPr>
        <w:t>103學年度第</w:t>
      </w:r>
      <w:r w:rsidRPr="00A85E58">
        <w:rPr>
          <w:rFonts w:ascii="標楷體" w:eastAsia="標楷體" w:hAnsi="標楷體" w:hint="eastAsia"/>
          <w:sz w:val="20"/>
          <w:szCs w:val="20"/>
          <w:lang w:val="zh-TW"/>
        </w:rPr>
        <w:t>1</w:t>
      </w:r>
      <w:r w:rsidR="005D6980" w:rsidRPr="00A85E58">
        <w:rPr>
          <w:rFonts w:ascii="標楷體" w:eastAsia="標楷體" w:hAnsi="標楷體" w:hint="eastAsia"/>
          <w:sz w:val="20"/>
          <w:szCs w:val="20"/>
          <w:lang w:val="zh-TW"/>
        </w:rPr>
        <w:t>次院務會議通過</w:t>
      </w:r>
    </w:p>
    <w:p w:rsidR="00A85E58" w:rsidRPr="00A85E58" w:rsidRDefault="00A85E58" w:rsidP="00A85E58">
      <w:pPr>
        <w:autoSpaceDE w:val="0"/>
        <w:autoSpaceDN w:val="0"/>
        <w:adjustRightInd w:val="0"/>
        <w:spacing w:line="320" w:lineRule="exact"/>
        <w:jc w:val="right"/>
        <w:rPr>
          <w:rFonts w:ascii="標楷體" w:eastAsia="標楷體" w:hAnsi="標楷體"/>
          <w:sz w:val="20"/>
          <w:szCs w:val="20"/>
          <w:lang w:val="zh-TW"/>
        </w:rPr>
      </w:pPr>
      <w:r w:rsidRPr="00A85E58">
        <w:rPr>
          <w:rFonts w:ascii="標楷體" w:eastAsia="標楷體" w:hAnsi="標楷體" w:hint="eastAsia"/>
          <w:sz w:val="20"/>
          <w:szCs w:val="20"/>
          <w:lang w:val="zh-TW"/>
        </w:rPr>
        <w:t>民國103年10月21日第47次研究發展會議</w:t>
      </w:r>
      <w:r w:rsidR="009305CB" w:rsidRPr="00745CE2">
        <w:rPr>
          <w:rFonts w:ascii="標楷體" w:eastAsia="標楷體" w:hAnsi="標楷體" w:hint="eastAsia"/>
          <w:color w:val="000000" w:themeColor="text1"/>
          <w:sz w:val="20"/>
          <w:szCs w:val="20"/>
          <w:lang w:val="zh-TW"/>
        </w:rPr>
        <w:t>修正</w:t>
      </w:r>
      <w:r w:rsidRPr="00A85E58">
        <w:rPr>
          <w:rFonts w:ascii="標楷體" w:eastAsia="標楷體" w:hAnsi="標楷體" w:hint="eastAsia"/>
          <w:sz w:val="20"/>
          <w:szCs w:val="20"/>
          <w:lang w:val="zh-TW"/>
        </w:rPr>
        <w:t>通過</w:t>
      </w:r>
    </w:p>
    <w:p w:rsidR="005D6980" w:rsidRPr="00567CBB" w:rsidRDefault="005D6980" w:rsidP="00567CBB">
      <w:pPr>
        <w:numPr>
          <w:ilvl w:val="0"/>
          <w:numId w:val="5"/>
        </w:numPr>
        <w:autoSpaceDE w:val="0"/>
        <w:autoSpaceDN w:val="0"/>
        <w:adjustRightInd w:val="0"/>
        <w:spacing w:beforeLines="50" w:before="180" w:line="320" w:lineRule="exact"/>
        <w:ind w:left="567" w:hanging="567"/>
        <w:rPr>
          <w:rFonts w:eastAsia="標楷體" w:hAnsi="標楷體"/>
          <w:b/>
          <w:sz w:val="28"/>
          <w:szCs w:val="28"/>
        </w:rPr>
      </w:pPr>
      <w:r w:rsidRPr="00567CBB">
        <w:rPr>
          <w:rFonts w:eastAsia="標楷體" w:hAnsi="標楷體"/>
          <w:b/>
          <w:sz w:val="28"/>
          <w:szCs w:val="28"/>
        </w:rPr>
        <w:t>成立目的：</w:t>
      </w:r>
    </w:p>
    <w:p w:rsidR="005D6980" w:rsidRPr="001B3D52" w:rsidRDefault="005D6980" w:rsidP="00B9703B">
      <w:pPr>
        <w:autoSpaceDE w:val="0"/>
        <w:autoSpaceDN w:val="0"/>
        <w:adjustRightInd w:val="0"/>
        <w:spacing w:beforeLines="50" w:before="180" w:line="480" w:lineRule="exact"/>
        <w:ind w:left="480"/>
        <w:rPr>
          <w:rFonts w:eastAsia="標楷體"/>
          <w:sz w:val="28"/>
          <w:szCs w:val="28"/>
        </w:rPr>
      </w:pPr>
      <w:r>
        <w:rPr>
          <w:rFonts w:eastAsia="標楷體" w:hAnsi="標楷體" w:hint="eastAsia"/>
          <w:sz w:val="28"/>
          <w:szCs w:val="28"/>
        </w:rPr>
        <w:t xml:space="preserve">    </w:t>
      </w:r>
      <w:r w:rsidRPr="006A4F94">
        <w:rPr>
          <w:rFonts w:eastAsia="標楷體" w:hAnsi="標楷體" w:hint="eastAsia"/>
          <w:sz w:val="28"/>
          <w:szCs w:val="28"/>
        </w:rPr>
        <w:t>近年來</w:t>
      </w:r>
      <w:r>
        <w:rPr>
          <w:rFonts w:eastAsia="標楷體" w:hAnsi="標楷體" w:hint="eastAsia"/>
          <w:sz w:val="28"/>
          <w:szCs w:val="28"/>
        </w:rPr>
        <w:t>生醫領域的研究極為蓬勃，並開啟許多實用的商業模式，尤其是針對台灣及許多先進國家逐漸邁入老年社會，針對老人的抵抗老化、健康照護和疾病預防形成顯學；同時，少子化趨勢使得新生幼兒及孩童的成長在父母眼中至為關鍵，相關的免疫增進、疾病預防和生長照護等亦為重要的研究課題。但現今學術界的研究多集中於某些健康食品、新藥開發、或醫材研究，這些研究確實為人類帶來許多便利和壽命的延長，但由於深受主流西方醫學影響，其中也不乏存在許多無解、難解或副作用甚鉅的醫療技術。本研究中心之研究源自覺察和利用大自然及人體自有的精妙結構和功能，發展出相關的健康科技，因為</w:t>
      </w:r>
      <w:r w:rsidRPr="006A4F94">
        <w:rPr>
          <w:rFonts w:eastAsia="標楷體" w:hAnsi="標楷體" w:hint="eastAsia"/>
          <w:sz w:val="28"/>
          <w:szCs w:val="28"/>
        </w:rPr>
        <w:t>人體自有一套防禦和恢復的系統，在</w:t>
      </w:r>
      <w:r>
        <w:rPr>
          <w:rFonts w:eastAsia="標楷體" w:hAnsi="標楷體" w:hint="eastAsia"/>
          <w:sz w:val="28"/>
          <w:szCs w:val="28"/>
        </w:rPr>
        <w:t>分工精細的</w:t>
      </w:r>
      <w:r w:rsidRPr="006A4F94">
        <w:rPr>
          <w:rFonts w:eastAsia="標楷體" w:hAnsi="標楷體" w:hint="eastAsia"/>
          <w:sz w:val="28"/>
          <w:szCs w:val="28"/>
        </w:rPr>
        <w:t>西方醫學主流衝擊下，人們極少觀察自己的「系統」是否正常運作？是否失衡？與</w:t>
      </w:r>
      <w:r>
        <w:rPr>
          <w:rFonts w:eastAsia="標楷體" w:hAnsi="標楷體" w:hint="eastAsia"/>
          <w:sz w:val="28"/>
          <w:szCs w:val="28"/>
        </w:rPr>
        <w:t>許多強力介入的</w:t>
      </w:r>
      <w:r w:rsidRPr="006A4F94">
        <w:rPr>
          <w:rFonts w:eastAsia="標楷體" w:hAnsi="標楷體" w:hint="eastAsia"/>
          <w:sz w:val="28"/>
          <w:szCs w:val="28"/>
        </w:rPr>
        <w:t>醫療方法相比，天然身體系統之精妙，實不可輕易人為操縱、恣意揮霍</w:t>
      </w:r>
      <w:r>
        <w:rPr>
          <w:rFonts w:eastAsia="標楷體" w:hAnsi="標楷體" w:hint="eastAsia"/>
          <w:sz w:val="28"/>
          <w:szCs w:val="28"/>
        </w:rPr>
        <w:t>，甚至於輕易取代置換，或強行介入。所以關於預防醫學的技術方法，即是著重在如何利用養生保健方法和技術，做科學研究的探討，建立系統性的學習綱要，以便接引更多人加入或參與；或利用疾病先期檢測及感測的科技，建立相關的健康安全自我評估；或利用抗菌技術研究如何避免周遭環境的侵害影響。關於非侵入醫學相關技術即是研究中醫的非藥物療法等保守治療的效果；或是開發經皮吸收的藥物擴散方式；或是研究光能及磁能治療等物理性刺激；或是微侵入醫療技術中應用的生物相容性凝膠、智慧凝膠、和相關敷料和輔具等，這些相關療法的材料或技術較少為標準西醫青睞，有些甚至與外科觀念相左，但基於維護天然，保存天然的理念，這些方法及材料均為保守療法中亟需開發的方向，也亟需更多的研究和觀念推廣。</w:t>
      </w:r>
    </w:p>
    <w:p w:rsidR="005D6980" w:rsidRPr="006A4F94" w:rsidRDefault="005D6980" w:rsidP="00B9703B">
      <w:pPr>
        <w:autoSpaceDE w:val="0"/>
        <w:autoSpaceDN w:val="0"/>
        <w:adjustRightInd w:val="0"/>
        <w:spacing w:beforeLines="50" w:before="180" w:line="480" w:lineRule="exact"/>
        <w:ind w:left="480"/>
        <w:rPr>
          <w:rFonts w:eastAsia="標楷體"/>
          <w:sz w:val="28"/>
          <w:szCs w:val="28"/>
        </w:rPr>
      </w:pPr>
      <w:r>
        <w:rPr>
          <w:rFonts w:eastAsia="標楷體" w:hAnsi="標楷體" w:hint="eastAsia"/>
          <w:sz w:val="28"/>
          <w:szCs w:val="28"/>
        </w:rPr>
        <w:t xml:space="preserve">    </w:t>
      </w:r>
      <w:r>
        <w:rPr>
          <w:rFonts w:eastAsia="標楷體" w:hAnsi="標楷體" w:hint="eastAsia"/>
          <w:sz w:val="28"/>
          <w:szCs w:val="28"/>
        </w:rPr>
        <w:t>如果論及醫療器材的發展，</w:t>
      </w:r>
      <w:r w:rsidRPr="000637E9">
        <w:rPr>
          <w:rFonts w:eastAsia="標楷體" w:hAnsi="標楷體" w:hint="eastAsia"/>
          <w:sz w:val="28"/>
          <w:szCs w:val="28"/>
        </w:rPr>
        <w:t>根據</w:t>
      </w:r>
      <w:r w:rsidRPr="000637E9">
        <w:rPr>
          <w:rFonts w:eastAsia="標楷體" w:hAnsi="標楷體"/>
          <w:sz w:val="28"/>
          <w:szCs w:val="28"/>
        </w:rPr>
        <w:t xml:space="preserve">2013 </w:t>
      </w:r>
      <w:r w:rsidRPr="000637E9">
        <w:rPr>
          <w:rFonts w:eastAsia="標楷體" w:hAnsi="標楷體" w:hint="eastAsia"/>
          <w:sz w:val="28"/>
          <w:szCs w:val="28"/>
        </w:rPr>
        <w:t>年</w:t>
      </w:r>
      <w:r w:rsidRPr="000637E9">
        <w:rPr>
          <w:rFonts w:eastAsia="標楷體" w:hAnsi="標楷體"/>
          <w:sz w:val="28"/>
          <w:szCs w:val="28"/>
        </w:rPr>
        <w:t xml:space="preserve">Business Monitor International </w:t>
      </w:r>
      <w:r w:rsidRPr="000637E9">
        <w:rPr>
          <w:rFonts w:eastAsia="標楷體" w:hAnsi="標楷體" w:hint="eastAsia"/>
          <w:sz w:val="28"/>
          <w:szCs w:val="28"/>
        </w:rPr>
        <w:t>公司的統計，</w:t>
      </w:r>
      <w:r w:rsidRPr="000637E9">
        <w:rPr>
          <w:rFonts w:eastAsia="標楷體" w:hAnsi="標楷體"/>
          <w:sz w:val="28"/>
          <w:szCs w:val="28"/>
        </w:rPr>
        <w:t xml:space="preserve">2012 </w:t>
      </w:r>
      <w:r w:rsidRPr="000637E9">
        <w:rPr>
          <w:rFonts w:eastAsia="標楷體" w:hAnsi="標楷體" w:hint="eastAsia"/>
          <w:sz w:val="28"/>
          <w:szCs w:val="28"/>
        </w:rPr>
        <w:t>年全球醫療器材市場規模為</w:t>
      </w:r>
      <w:r w:rsidRPr="000637E9">
        <w:rPr>
          <w:rFonts w:eastAsia="標楷體" w:hAnsi="標楷體"/>
          <w:sz w:val="28"/>
          <w:szCs w:val="28"/>
        </w:rPr>
        <w:t xml:space="preserve">3,046 </w:t>
      </w:r>
      <w:r w:rsidRPr="000637E9">
        <w:rPr>
          <w:rFonts w:eastAsia="標楷體" w:hAnsi="標楷體" w:hint="eastAsia"/>
          <w:sz w:val="28"/>
          <w:szCs w:val="28"/>
        </w:rPr>
        <w:t>億美元，長期看好醫療器材的新應用需求持續攀升，預期</w:t>
      </w:r>
      <w:r w:rsidRPr="000637E9">
        <w:rPr>
          <w:rFonts w:eastAsia="標楷體" w:hAnsi="標楷體"/>
          <w:sz w:val="28"/>
          <w:szCs w:val="28"/>
        </w:rPr>
        <w:t>2017</w:t>
      </w:r>
      <w:r w:rsidRPr="000637E9">
        <w:rPr>
          <w:rFonts w:eastAsia="標楷體" w:hAnsi="標楷體" w:hint="eastAsia"/>
          <w:sz w:val="28"/>
          <w:szCs w:val="28"/>
        </w:rPr>
        <w:t>年可達</w:t>
      </w:r>
      <w:r w:rsidRPr="000637E9">
        <w:rPr>
          <w:rFonts w:eastAsia="標楷體" w:hAnsi="標楷體"/>
          <w:sz w:val="28"/>
          <w:szCs w:val="28"/>
        </w:rPr>
        <w:t>4</w:t>
      </w:r>
      <w:r>
        <w:rPr>
          <w:rFonts w:eastAsia="標楷體" w:hAnsi="標楷體" w:hint="eastAsia"/>
          <w:sz w:val="28"/>
          <w:szCs w:val="28"/>
        </w:rPr>
        <w:t>300</w:t>
      </w:r>
      <w:r w:rsidRPr="000637E9">
        <w:rPr>
          <w:rFonts w:eastAsia="標楷體" w:hAnsi="標楷體" w:hint="eastAsia"/>
          <w:sz w:val="28"/>
          <w:szCs w:val="28"/>
        </w:rPr>
        <w:t>億美元，</w:t>
      </w:r>
      <w:r w:rsidRPr="000637E9">
        <w:rPr>
          <w:rFonts w:eastAsia="標楷體" w:hAnsi="標楷體"/>
          <w:sz w:val="28"/>
          <w:szCs w:val="28"/>
        </w:rPr>
        <w:t xml:space="preserve">2012 </w:t>
      </w:r>
      <w:r w:rsidRPr="000637E9">
        <w:rPr>
          <w:rFonts w:ascii="Cambria Math" w:eastAsia="標楷體" w:hAnsi="Cambria Math" w:cs="Cambria Math"/>
          <w:sz w:val="28"/>
          <w:szCs w:val="28"/>
        </w:rPr>
        <w:t>∼</w:t>
      </w:r>
      <w:r w:rsidRPr="000637E9">
        <w:rPr>
          <w:rFonts w:eastAsia="標楷體" w:hAnsi="標楷體"/>
          <w:sz w:val="28"/>
          <w:szCs w:val="28"/>
        </w:rPr>
        <w:t>2017</w:t>
      </w:r>
      <w:r w:rsidRPr="000637E9">
        <w:rPr>
          <w:rFonts w:eastAsia="標楷體" w:hAnsi="標楷體" w:hint="eastAsia"/>
          <w:sz w:val="28"/>
          <w:szCs w:val="28"/>
        </w:rPr>
        <w:t>年之年複合成長率可達</w:t>
      </w:r>
      <w:r w:rsidRPr="000637E9">
        <w:rPr>
          <w:rFonts w:eastAsia="標楷體" w:hAnsi="標楷體"/>
          <w:sz w:val="28"/>
          <w:szCs w:val="28"/>
        </w:rPr>
        <w:t>7.1%</w:t>
      </w:r>
      <w:r w:rsidRPr="000637E9">
        <w:rPr>
          <w:rFonts w:eastAsia="標楷體" w:hAnsi="標楷體" w:hint="eastAsia"/>
          <w:sz w:val="28"/>
          <w:szCs w:val="28"/>
        </w:rPr>
        <w:t>。</w:t>
      </w:r>
      <w:r>
        <w:rPr>
          <w:rFonts w:eastAsia="標楷體" w:hAnsi="標楷體" w:hint="eastAsia"/>
          <w:sz w:val="28"/>
          <w:szCs w:val="28"/>
        </w:rPr>
        <w:t>若因應預防醫學的時代已然來臨，</w:t>
      </w:r>
      <w:r w:rsidRPr="001B3D52">
        <w:rPr>
          <w:rFonts w:eastAsia="標楷體" w:hAnsi="標楷體" w:hint="eastAsia"/>
          <w:sz w:val="28"/>
          <w:szCs w:val="28"/>
        </w:rPr>
        <w:t>國內保健市</w:t>
      </w:r>
      <w:r w:rsidRPr="001B3D52">
        <w:rPr>
          <w:rFonts w:eastAsia="標楷體" w:hAnsi="標楷體" w:hint="eastAsia"/>
          <w:sz w:val="28"/>
          <w:szCs w:val="28"/>
        </w:rPr>
        <w:lastRenderedPageBreak/>
        <w:t>場消費規模排名世界前三大</w:t>
      </w:r>
      <w:r>
        <w:rPr>
          <w:rFonts w:eastAsia="標楷體" w:hAnsi="標楷體" w:hint="eastAsia"/>
          <w:sz w:val="28"/>
          <w:szCs w:val="28"/>
        </w:rPr>
        <w:t>，</w:t>
      </w:r>
      <w:r w:rsidRPr="001B3D52">
        <w:rPr>
          <w:rFonts w:eastAsia="標楷體" w:hAnsi="標楷體" w:hint="eastAsia"/>
          <w:sz w:val="28"/>
          <w:szCs w:val="28"/>
        </w:rPr>
        <w:t>每年</w:t>
      </w:r>
      <w:r>
        <w:rPr>
          <w:rFonts w:eastAsia="標楷體" w:hAnsi="標楷體" w:hint="eastAsia"/>
          <w:sz w:val="28"/>
          <w:szCs w:val="28"/>
        </w:rPr>
        <w:t>皆</w:t>
      </w:r>
      <w:r w:rsidRPr="001B3D52">
        <w:rPr>
          <w:rFonts w:eastAsia="標楷體" w:hAnsi="標楷體" w:hint="eastAsia"/>
          <w:sz w:val="28"/>
          <w:szCs w:val="28"/>
        </w:rPr>
        <w:t>高達千億</w:t>
      </w:r>
      <w:r>
        <w:rPr>
          <w:rFonts w:eastAsia="標楷體" w:hAnsi="標楷體" w:hint="eastAsia"/>
          <w:sz w:val="28"/>
          <w:szCs w:val="28"/>
        </w:rPr>
        <w:t>台幣。以先期診斷或疾病感測的市場而言，根據</w:t>
      </w:r>
      <w:r w:rsidRPr="001B3D52">
        <w:rPr>
          <w:rFonts w:eastAsia="標楷體" w:hAnsi="標楷體"/>
          <w:sz w:val="28"/>
          <w:szCs w:val="28"/>
        </w:rPr>
        <w:t>B</w:t>
      </w:r>
      <w:r>
        <w:rPr>
          <w:rFonts w:eastAsia="標楷體" w:hAnsi="標楷體" w:hint="eastAsia"/>
          <w:sz w:val="28"/>
          <w:szCs w:val="28"/>
        </w:rPr>
        <w:t>usiness</w:t>
      </w:r>
      <w:r w:rsidRPr="001B3D52">
        <w:rPr>
          <w:rFonts w:eastAsia="標楷體" w:hAnsi="標楷體"/>
          <w:sz w:val="28"/>
          <w:szCs w:val="28"/>
        </w:rPr>
        <w:t xml:space="preserve"> I</w:t>
      </w:r>
      <w:r>
        <w:rPr>
          <w:rFonts w:eastAsia="標楷體" w:hAnsi="標楷體" w:hint="eastAsia"/>
          <w:sz w:val="28"/>
          <w:szCs w:val="28"/>
        </w:rPr>
        <w:t>nsight</w:t>
      </w:r>
      <w:r w:rsidRPr="001B3D52">
        <w:rPr>
          <w:rFonts w:eastAsia="標楷體" w:hAnsi="標楷體" w:hint="eastAsia"/>
          <w:sz w:val="28"/>
          <w:szCs w:val="28"/>
        </w:rPr>
        <w:t>的統計，</w:t>
      </w:r>
      <w:r w:rsidRPr="001B3D52">
        <w:rPr>
          <w:rFonts w:eastAsia="標楷體" w:hAnsi="標楷體"/>
          <w:sz w:val="28"/>
          <w:szCs w:val="28"/>
        </w:rPr>
        <w:t>2</w:t>
      </w:r>
      <w:r>
        <w:rPr>
          <w:rFonts w:eastAsia="標楷體" w:hAnsi="標楷體" w:hint="eastAsia"/>
          <w:sz w:val="28"/>
          <w:szCs w:val="28"/>
        </w:rPr>
        <w:t>012</w:t>
      </w:r>
      <w:r w:rsidRPr="001B3D52">
        <w:rPr>
          <w:rFonts w:eastAsia="標楷體" w:hAnsi="標楷體" w:hint="eastAsia"/>
          <w:sz w:val="28"/>
          <w:szCs w:val="28"/>
        </w:rPr>
        <w:t>年全球體外診斷試劑市場規模約為</w:t>
      </w:r>
      <w:r>
        <w:rPr>
          <w:rFonts w:eastAsia="標楷體" w:hAnsi="標楷體" w:hint="eastAsia"/>
          <w:sz w:val="28"/>
          <w:szCs w:val="28"/>
        </w:rPr>
        <w:t>500</w:t>
      </w:r>
      <w:r w:rsidRPr="001B3D52">
        <w:rPr>
          <w:rFonts w:eastAsia="標楷體" w:hAnsi="標楷體" w:hint="eastAsia"/>
          <w:sz w:val="28"/>
          <w:szCs w:val="28"/>
        </w:rPr>
        <w:t>億美元，近幾年都保持</w:t>
      </w:r>
      <w:r w:rsidRPr="001B3D52">
        <w:rPr>
          <w:rFonts w:eastAsia="標楷體" w:hAnsi="標楷體"/>
          <w:sz w:val="28"/>
          <w:szCs w:val="28"/>
        </w:rPr>
        <w:t>5</w:t>
      </w:r>
      <w:r w:rsidRPr="001B3D52">
        <w:rPr>
          <w:rFonts w:ascii="Cambria Math" w:eastAsia="標楷體" w:hAnsi="Cambria Math" w:cs="Cambria Math"/>
          <w:sz w:val="28"/>
          <w:szCs w:val="28"/>
        </w:rPr>
        <w:t>∼</w:t>
      </w:r>
      <w:r w:rsidRPr="001B3D52">
        <w:rPr>
          <w:rFonts w:eastAsia="標楷體" w:hAnsi="標楷體"/>
          <w:sz w:val="28"/>
          <w:szCs w:val="28"/>
        </w:rPr>
        <w:t>6</w:t>
      </w:r>
      <w:r w:rsidRPr="001B3D52">
        <w:rPr>
          <w:rFonts w:eastAsia="標楷體" w:hAnsi="標楷體" w:hint="eastAsia"/>
          <w:sz w:val="28"/>
          <w:szCs w:val="28"/>
        </w:rPr>
        <w:t>％的穩定年成長率</w:t>
      </w:r>
      <w:r>
        <w:rPr>
          <w:rFonts w:eastAsia="標楷體" w:hAnsi="標楷體" w:hint="eastAsia"/>
          <w:sz w:val="28"/>
          <w:szCs w:val="28"/>
        </w:rPr>
        <w:t>。而</w:t>
      </w:r>
      <w:r w:rsidRPr="000637E9">
        <w:rPr>
          <w:rFonts w:eastAsia="標楷體" w:hAnsi="標楷體" w:hint="eastAsia"/>
          <w:sz w:val="28"/>
          <w:szCs w:val="28"/>
        </w:rPr>
        <w:t>目前全球中草藥保健市場規模已達</w:t>
      </w:r>
      <w:r w:rsidRPr="000637E9">
        <w:rPr>
          <w:rFonts w:eastAsia="標楷體" w:hAnsi="標楷體" w:hint="eastAsia"/>
          <w:sz w:val="28"/>
          <w:szCs w:val="28"/>
        </w:rPr>
        <w:t>300</w:t>
      </w:r>
      <w:r w:rsidRPr="000637E9">
        <w:rPr>
          <w:rFonts w:eastAsia="標楷體" w:hAnsi="標楷體" w:hint="eastAsia"/>
          <w:sz w:val="28"/>
          <w:szCs w:val="28"/>
        </w:rPr>
        <w:t>億美元，以台灣來說，年產值約有</w:t>
      </w:r>
      <w:r w:rsidRPr="000637E9">
        <w:rPr>
          <w:rFonts w:eastAsia="標楷體" w:hAnsi="標楷體" w:hint="eastAsia"/>
          <w:sz w:val="28"/>
          <w:szCs w:val="28"/>
        </w:rPr>
        <w:t>250</w:t>
      </w:r>
      <w:r w:rsidRPr="000637E9">
        <w:rPr>
          <w:rFonts w:eastAsia="標楷體" w:hAnsi="標楷體" w:hint="eastAsia"/>
          <w:sz w:val="28"/>
          <w:szCs w:val="28"/>
        </w:rPr>
        <w:t>億台幣，未來保健養生產品市場還會持續成長。</w:t>
      </w:r>
      <w:r>
        <w:rPr>
          <w:rFonts w:eastAsia="標楷體" w:hAnsi="標楷體" w:hint="eastAsia"/>
          <w:sz w:val="28"/>
          <w:szCs w:val="28"/>
        </w:rPr>
        <w:t>觀察台灣的醫療產業趨勢，</w:t>
      </w:r>
      <w:r w:rsidRPr="00B05376">
        <w:rPr>
          <w:rFonts w:eastAsia="標楷體" w:hAnsi="標楷體" w:hint="eastAsia"/>
          <w:sz w:val="28"/>
          <w:szCs w:val="28"/>
        </w:rPr>
        <w:t>產品創新是創造高獲利空間的基礎，也是帶動醫材產業成長的重要趨動力之一。隨著健康照護情境越趨居家化與個人化，微小化、可攜式成為研發重點，</w:t>
      </w:r>
      <w:r>
        <w:rPr>
          <w:rFonts w:eastAsia="標楷體" w:hAnsi="標楷體" w:hint="eastAsia"/>
          <w:sz w:val="28"/>
          <w:szCs w:val="28"/>
        </w:rPr>
        <w:t>本校化材系和電機系有許多研究</w:t>
      </w:r>
      <w:r w:rsidRPr="00B05376">
        <w:rPr>
          <w:rFonts w:eastAsia="標楷體" w:hAnsi="標楷體" w:hint="eastAsia"/>
          <w:sz w:val="28"/>
          <w:szCs w:val="28"/>
        </w:rPr>
        <w:t>在晶片製程、奈米技術的發展</w:t>
      </w:r>
      <w:r>
        <w:rPr>
          <w:rFonts w:eastAsia="標楷體" w:hAnsi="標楷體" w:hint="eastAsia"/>
          <w:sz w:val="28"/>
          <w:szCs w:val="28"/>
        </w:rPr>
        <w:t>已具成熟的可商業化方法</w:t>
      </w:r>
      <w:r w:rsidRPr="00B05376">
        <w:rPr>
          <w:rFonts w:eastAsia="標楷體" w:hAnsi="標楷體" w:hint="eastAsia"/>
          <w:sz w:val="28"/>
          <w:szCs w:val="28"/>
        </w:rPr>
        <w:t>，</w:t>
      </w:r>
      <w:r>
        <w:rPr>
          <w:rFonts w:eastAsia="標楷體" w:hAnsi="標楷體" w:hint="eastAsia"/>
          <w:sz w:val="28"/>
          <w:szCs w:val="28"/>
        </w:rPr>
        <w:t>可具體</w:t>
      </w:r>
      <w:r w:rsidRPr="00B05376">
        <w:rPr>
          <w:rFonts w:eastAsia="標楷體" w:hAnsi="標楷體" w:hint="eastAsia"/>
          <w:sz w:val="28"/>
          <w:szCs w:val="28"/>
        </w:rPr>
        <w:t>實現醫療器材產品微小與可攜的目標</w:t>
      </w:r>
      <w:r>
        <w:rPr>
          <w:rFonts w:eastAsia="標楷體" w:hAnsi="標楷體" w:hint="eastAsia"/>
          <w:sz w:val="28"/>
          <w:szCs w:val="28"/>
        </w:rPr>
        <w:t>。</w:t>
      </w:r>
      <w:r w:rsidRPr="00B05376">
        <w:rPr>
          <w:rFonts w:eastAsia="標楷體" w:hAnsi="標楷體" w:hint="eastAsia"/>
          <w:sz w:val="28"/>
          <w:szCs w:val="28"/>
        </w:rPr>
        <w:t>此外，</w:t>
      </w:r>
      <w:r>
        <w:rPr>
          <w:rFonts w:eastAsia="標楷體" w:hAnsi="標楷體" w:hint="eastAsia"/>
          <w:sz w:val="28"/>
          <w:szCs w:val="28"/>
        </w:rPr>
        <w:t>根據工研院產經中心指出，</w:t>
      </w:r>
      <w:r w:rsidRPr="00B05376">
        <w:rPr>
          <w:rFonts w:eastAsia="標楷體" w:hAnsi="標楷體" w:hint="eastAsia"/>
          <w:sz w:val="28"/>
          <w:szCs w:val="28"/>
        </w:rPr>
        <w:t>面對著病患自我保健意識提升，以及對於醫療品質的要求，病患更加重視接受醫療服務時的感受，因此包含了友善的就醫環境、低侵的非侵入式檢測技術與微創手術等，皆是醫材產品研發的創新重點</w:t>
      </w:r>
      <w:r>
        <w:rPr>
          <w:rFonts w:eastAsia="標楷體" w:hAnsi="標楷體" w:hint="eastAsia"/>
          <w:sz w:val="28"/>
          <w:szCs w:val="28"/>
        </w:rPr>
        <w:t>，這些方向目前佔有市場尚未被開發，潛力無限。研究中心的成立，</w:t>
      </w:r>
      <w:r w:rsidRPr="00B05376">
        <w:rPr>
          <w:rFonts w:eastAsia="標楷體" w:hAnsi="標楷體" w:hint="eastAsia"/>
          <w:sz w:val="28"/>
          <w:szCs w:val="28"/>
        </w:rPr>
        <w:t>除了</w:t>
      </w:r>
      <w:r>
        <w:rPr>
          <w:rFonts w:eastAsia="標楷體" w:hAnsi="標楷體" w:hint="eastAsia"/>
          <w:sz w:val="28"/>
          <w:szCs w:val="28"/>
        </w:rPr>
        <w:t>響應</w:t>
      </w:r>
      <w:r w:rsidRPr="00B05376">
        <w:rPr>
          <w:rFonts w:eastAsia="標楷體" w:hAnsi="標楷體" w:hint="eastAsia"/>
          <w:sz w:val="28"/>
          <w:szCs w:val="28"/>
        </w:rPr>
        <w:t>政府致力扶植產業發展，對於</w:t>
      </w:r>
      <w:r>
        <w:rPr>
          <w:rFonts w:eastAsia="標楷體" w:hAnsi="標楷體" w:hint="eastAsia"/>
          <w:sz w:val="28"/>
          <w:szCs w:val="28"/>
        </w:rPr>
        <w:t>預防醫學的推廣、非侵入醫學的研究用於</w:t>
      </w:r>
      <w:r w:rsidRPr="00B05376">
        <w:rPr>
          <w:rFonts w:eastAsia="標楷體" w:hAnsi="標楷體" w:hint="eastAsia"/>
          <w:sz w:val="28"/>
          <w:szCs w:val="28"/>
        </w:rPr>
        <w:t>高階醫材的技術研發，到後端行銷策略的協助等，對形成產業聚落、協助產業發展有所助益。</w:t>
      </w:r>
      <w:r>
        <w:rPr>
          <w:rFonts w:eastAsia="標楷體" w:hAnsi="標楷體" w:hint="eastAsia"/>
          <w:sz w:val="28"/>
          <w:szCs w:val="28"/>
        </w:rPr>
        <w:t>基於以上所述理由及重要性，</w:t>
      </w:r>
      <w:r w:rsidRPr="006A4F94">
        <w:rPr>
          <w:rFonts w:eastAsia="標楷體" w:hAnsi="標楷體"/>
          <w:sz w:val="28"/>
          <w:szCs w:val="28"/>
          <w:lang w:val="zh-TW"/>
        </w:rPr>
        <w:t>特依「國立高雄大學研究中心設置辦法」設立</w:t>
      </w:r>
      <w:r w:rsidRPr="000926A7">
        <w:rPr>
          <w:rFonts w:eastAsia="標楷體" w:hAnsi="標楷體" w:hint="eastAsia"/>
          <w:sz w:val="28"/>
          <w:szCs w:val="28"/>
        </w:rPr>
        <w:t>健康及仿生科技</w:t>
      </w:r>
      <w:r w:rsidRPr="000926A7">
        <w:rPr>
          <w:rFonts w:eastAsia="標楷體" w:hAnsi="標楷體"/>
          <w:sz w:val="28"/>
          <w:szCs w:val="28"/>
        </w:rPr>
        <w:t>研</w:t>
      </w:r>
      <w:r w:rsidRPr="006A4F94">
        <w:rPr>
          <w:rFonts w:eastAsia="標楷體" w:hAnsi="標楷體"/>
          <w:sz w:val="28"/>
          <w:szCs w:val="28"/>
          <w:lang w:val="zh-TW"/>
        </w:rPr>
        <w:t>究中心。</w:t>
      </w:r>
    </w:p>
    <w:p w:rsidR="005D6980" w:rsidRPr="00F81A00" w:rsidRDefault="005D6980" w:rsidP="00567CBB">
      <w:pPr>
        <w:numPr>
          <w:ilvl w:val="0"/>
          <w:numId w:val="5"/>
        </w:numPr>
        <w:autoSpaceDE w:val="0"/>
        <w:autoSpaceDN w:val="0"/>
        <w:adjustRightInd w:val="0"/>
        <w:spacing w:beforeLines="50" w:before="180" w:line="480" w:lineRule="exact"/>
        <w:ind w:left="567" w:hanging="567"/>
        <w:rPr>
          <w:rFonts w:eastAsia="標楷體"/>
          <w:sz w:val="28"/>
          <w:szCs w:val="28"/>
        </w:rPr>
      </w:pPr>
      <w:r w:rsidRPr="005D55F6">
        <w:rPr>
          <w:rFonts w:eastAsia="標楷體" w:hAnsi="標楷體"/>
          <w:b/>
          <w:sz w:val="28"/>
          <w:szCs w:val="28"/>
          <w:lang w:val="zh-TW"/>
        </w:rPr>
        <w:t>期限</w:t>
      </w:r>
      <w:r w:rsidRPr="00F81A00">
        <w:rPr>
          <w:rFonts w:eastAsia="標楷體" w:hAnsi="標楷體"/>
          <w:sz w:val="28"/>
          <w:szCs w:val="28"/>
          <w:lang w:val="zh-TW"/>
        </w:rPr>
        <w:t>：</w:t>
      </w:r>
      <w:r w:rsidRPr="00F81A00">
        <w:rPr>
          <w:rFonts w:eastAsia="標楷體" w:hint="eastAsia"/>
          <w:sz w:val="28"/>
          <w:szCs w:val="28"/>
        </w:rPr>
        <w:t>本中心經院務會議審議通過後成立。成立後滿兩年，自第三年起提出年度工作報告及次年工作規劃，並依「國立高雄大學研究中心管理暨評鑑辦法」接受評鑑。</w:t>
      </w:r>
    </w:p>
    <w:p w:rsidR="005D6980" w:rsidRPr="008D0997" w:rsidRDefault="005D6980" w:rsidP="00B9703B">
      <w:pPr>
        <w:numPr>
          <w:ilvl w:val="0"/>
          <w:numId w:val="5"/>
        </w:numPr>
        <w:tabs>
          <w:tab w:val="clear" w:pos="480"/>
        </w:tabs>
        <w:autoSpaceDE w:val="0"/>
        <w:autoSpaceDN w:val="0"/>
        <w:adjustRightInd w:val="0"/>
        <w:spacing w:beforeLines="50" w:before="180" w:line="480" w:lineRule="exact"/>
        <w:ind w:left="567" w:hanging="567"/>
        <w:rPr>
          <w:rFonts w:eastAsia="標楷體"/>
          <w:sz w:val="28"/>
          <w:szCs w:val="28"/>
        </w:rPr>
      </w:pPr>
      <w:r w:rsidRPr="005D55F6">
        <w:rPr>
          <w:rFonts w:eastAsia="標楷體" w:hAnsi="標楷體"/>
          <w:b/>
          <w:sz w:val="28"/>
          <w:szCs w:val="28"/>
        </w:rPr>
        <w:t>組織架構</w:t>
      </w:r>
      <w:r w:rsidRPr="008D0997">
        <w:rPr>
          <w:rFonts w:eastAsia="標楷體" w:hAnsi="標楷體"/>
          <w:sz w:val="28"/>
          <w:szCs w:val="28"/>
        </w:rPr>
        <w:t>：</w:t>
      </w:r>
      <w:r>
        <w:rPr>
          <w:rFonts w:eastAsia="標楷體" w:hAnsi="標楷體" w:hint="eastAsia"/>
          <w:sz w:val="28"/>
          <w:szCs w:val="28"/>
        </w:rPr>
        <w:t>（請參照學校研究中心設置辦法編修）</w:t>
      </w:r>
    </w:p>
    <w:p w:rsidR="005D6980" w:rsidRPr="00D243A3" w:rsidRDefault="00AE7AC8" w:rsidP="005D6980">
      <w:pPr>
        <w:numPr>
          <w:ilvl w:val="0"/>
          <w:numId w:val="6"/>
        </w:numPr>
        <w:tabs>
          <w:tab w:val="clear" w:pos="420"/>
        </w:tabs>
        <w:autoSpaceDE w:val="0"/>
        <w:autoSpaceDN w:val="0"/>
        <w:adjustRightInd w:val="0"/>
        <w:spacing w:line="480" w:lineRule="exact"/>
        <w:ind w:left="567" w:hanging="327"/>
        <w:rPr>
          <w:rFonts w:eastAsia="標楷體"/>
          <w:sz w:val="28"/>
          <w:szCs w:val="28"/>
        </w:rPr>
      </w:pPr>
      <w:r>
        <w:rPr>
          <w:rFonts w:eastAsia="標楷體" w:hAnsi="標楷體" w:hint="eastAsia"/>
          <w:sz w:val="28"/>
          <w:szCs w:val="28"/>
        </w:rPr>
        <w:t>本中心設置</w:t>
      </w:r>
      <w:bookmarkStart w:id="0" w:name="_GoBack"/>
      <w:r w:rsidR="005D6980" w:rsidRPr="001130D4">
        <w:rPr>
          <w:rFonts w:eastAsia="標楷體" w:hAnsi="標楷體" w:hint="eastAsia"/>
          <w:color w:val="000000" w:themeColor="text1"/>
          <w:sz w:val="28"/>
          <w:szCs w:val="28"/>
        </w:rPr>
        <w:t>主任</w:t>
      </w:r>
      <w:bookmarkEnd w:id="0"/>
      <w:r w:rsidR="005D6980" w:rsidRPr="00D243A3">
        <w:rPr>
          <w:rFonts w:eastAsia="標楷體" w:hAnsi="標楷體" w:hint="eastAsia"/>
          <w:sz w:val="28"/>
          <w:szCs w:val="28"/>
        </w:rPr>
        <w:t>一人、研究員</w:t>
      </w:r>
      <w:r w:rsidR="005D6980" w:rsidRPr="00D243A3">
        <w:rPr>
          <w:rFonts w:eastAsia="標楷體" w:hAnsi="標楷體" w:hint="eastAsia"/>
          <w:sz w:val="28"/>
          <w:szCs w:val="28"/>
        </w:rPr>
        <w:t>(</w:t>
      </w:r>
      <w:r w:rsidR="005D6980" w:rsidRPr="00D243A3">
        <w:rPr>
          <w:rFonts w:eastAsia="標楷體" w:hAnsi="標楷體" w:hint="eastAsia"/>
          <w:sz w:val="28"/>
          <w:szCs w:val="28"/>
        </w:rPr>
        <w:t>碩士或博士後</w:t>
      </w:r>
      <w:r w:rsidR="005D6980" w:rsidRPr="00D243A3">
        <w:rPr>
          <w:rFonts w:eastAsia="標楷體" w:hAnsi="標楷體" w:hint="eastAsia"/>
          <w:sz w:val="28"/>
          <w:szCs w:val="28"/>
        </w:rPr>
        <w:t>)</w:t>
      </w:r>
      <w:r w:rsidR="005D6980" w:rsidRPr="00D243A3">
        <w:rPr>
          <w:rFonts w:eastAsia="標楷體" w:hAnsi="標楷體" w:hint="eastAsia"/>
          <w:sz w:val="28"/>
          <w:szCs w:val="28"/>
        </w:rPr>
        <w:t>、及助理</w:t>
      </w:r>
      <w:r w:rsidR="005D6980">
        <w:rPr>
          <w:rFonts w:eastAsia="標楷體" w:hAnsi="標楷體" w:hint="eastAsia"/>
          <w:sz w:val="28"/>
          <w:szCs w:val="28"/>
        </w:rPr>
        <w:t>或專員</w:t>
      </w:r>
      <w:r w:rsidR="005D6980" w:rsidRPr="00D243A3">
        <w:rPr>
          <w:rFonts w:eastAsia="標楷體" w:hAnsi="標楷體" w:hint="eastAsia"/>
          <w:sz w:val="28"/>
          <w:szCs w:val="28"/>
        </w:rPr>
        <w:t>若干人。主任綜理中心各項業務，由研究中心內部專兼任教師推舉，陳請院長簽請校長聘任之，任期</w:t>
      </w:r>
      <w:r w:rsidR="005D6980">
        <w:rPr>
          <w:rFonts w:eastAsia="標楷體" w:hAnsi="標楷體" w:hint="eastAsia"/>
          <w:sz w:val="28"/>
          <w:szCs w:val="28"/>
        </w:rPr>
        <w:t>三</w:t>
      </w:r>
      <w:r w:rsidR="005D6980" w:rsidRPr="00D243A3">
        <w:rPr>
          <w:rFonts w:eastAsia="標楷體" w:hAnsi="標楷體" w:hint="eastAsia"/>
          <w:sz w:val="28"/>
          <w:szCs w:val="28"/>
        </w:rPr>
        <w:t>年，得連任。</w:t>
      </w:r>
    </w:p>
    <w:p w:rsidR="005D6980" w:rsidRPr="00F23FDC" w:rsidRDefault="005D6980" w:rsidP="005D6980">
      <w:pPr>
        <w:numPr>
          <w:ilvl w:val="0"/>
          <w:numId w:val="6"/>
        </w:numPr>
        <w:tabs>
          <w:tab w:val="clear" w:pos="420"/>
        </w:tabs>
        <w:autoSpaceDE w:val="0"/>
        <w:autoSpaceDN w:val="0"/>
        <w:adjustRightInd w:val="0"/>
        <w:spacing w:line="480" w:lineRule="exact"/>
        <w:ind w:left="567" w:hanging="327"/>
        <w:rPr>
          <w:rFonts w:eastAsia="標楷體"/>
          <w:sz w:val="28"/>
          <w:szCs w:val="28"/>
        </w:rPr>
      </w:pPr>
      <w:r w:rsidRPr="00406D8B">
        <w:rPr>
          <w:rFonts w:eastAsia="標楷體" w:hAnsi="標楷體" w:hint="eastAsia"/>
          <w:sz w:val="28"/>
          <w:szCs w:val="28"/>
        </w:rPr>
        <w:t>架構圖</w:t>
      </w:r>
      <w:r>
        <w:rPr>
          <w:rFonts w:eastAsia="標楷體" w:hAnsi="標楷體" w:hint="eastAsia"/>
          <w:sz w:val="28"/>
          <w:szCs w:val="28"/>
        </w:rPr>
        <w:t>如下：</w:t>
      </w:r>
    </w:p>
    <w:p w:rsidR="005D6980" w:rsidRPr="00406D8B" w:rsidRDefault="00743BF9" w:rsidP="005D6980">
      <w:pPr>
        <w:autoSpaceDE w:val="0"/>
        <w:autoSpaceDN w:val="0"/>
        <w:adjustRightInd w:val="0"/>
        <w:ind w:left="567"/>
        <w:rPr>
          <w:rFonts w:eastAsia="標楷體"/>
          <w:sz w:val="28"/>
          <w:szCs w:val="28"/>
        </w:rPr>
      </w:pPr>
      <w:r>
        <w:rPr>
          <w:noProof/>
        </w:rPr>
        <w:lastRenderedPageBreak/>
        <w:drawing>
          <wp:inline distT="0" distB="0" distL="0" distR="0">
            <wp:extent cx="4600575" cy="3324225"/>
            <wp:effectExtent l="19050" t="0" r="9525"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srcRect/>
                    <a:stretch>
                      <a:fillRect/>
                    </a:stretch>
                  </pic:blipFill>
                  <pic:spPr bwMode="auto">
                    <a:xfrm>
                      <a:off x="0" y="0"/>
                      <a:ext cx="4600575" cy="3324225"/>
                    </a:xfrm>
                    <a:prstGeom prst="rect">
                      <a:avLst/>
                    </a:prstGeom>
                    <a:noFill/>
                    <a:ln w="9525">
                      <a:noFill/>
                      <a:miter lim="800000"/>
                      <a:headEnd/>
                      <a:tailEnd/>
                    </a:ln>
                  </pic:spPr>
                </pic:pic>
              </a:graphicData>
            </a:graphic>
          </wp:inline>
        </w:drawing>
      </w:r>
    </w:p>
    <w:p w:rsidR="005D6980" w:rsidRPr="008D0997" w:rsidRDefault="005D6980" w:rsidP="00B9703B">
      <w:pPr>
        <w:numPr>
          <w:ilvl w:val="0"/>
          <w:numId w:val="5"/>
        </w:numPr>
        <w:tabs>
          <w:tab w:val="clear" w:pos="480"/>
        </w:tabs>
        <w:autoSpaceDE w:val="0"/>
        <w:autoSpaceDN w:val="0"/>
        <w:adjustRightInd w:val="0"/>
        <w:spacing w:beforeLines="50" w:before="180" w:line="480" w:lineRule="exact"/>
        <w:ind w:left="567" w:hanging="567"/>
        <w:rPr>
          <w:rFonts w:eastAsia="標楷體"/>
          <w:sz w:val="28"/>
          <w:szCs w:val="28"/>
        </w:rPr>
      </w:pPr>
      <w:r w:rsidRPr="005D55F6">
        <w:rPr>
          <w:rFonts w:eastAsia="標楷體" w:hAnsi="標楷體"/>
          <w:b/>
          <w:sz w:val="28"/>
          <w:szCs w:val="28"/>
        </w:rPr>
        <w:t>未來定位</w:t>
      </w:r>
      <w:r w:rsidRPr="004766E1">
        <w:rPr>
          <w:rFonts w:eastAsia="標楷體" w:hAnsi="標楷體"/>
          <w:sz w:val="28"/>
          <w:szCs w:val="28"/>
        </w:rPr>
        <w:t>：</w:t>
      </w:r>
      <w:r w:rsidRPr="008D0997">
        <w:rPr>
          <w:rFonts w:eastAsia="標楷體"/>
          <w:sz w:val="28"/>
          <w:szCs w:val="28"/>
        </w:rPr>
        <w:t xml:space="preserve"> </w:t>
      </w:r>
    </w:p>
    <w:p w:rsidR="005D6980" w:rsidRPr="00997F8D" w:rsidRDefault="005D6980" w:rsidP="005D6980">
      <w:pPr>
        <w:numPr>
          <w:ilvl w:val="0"/>
          <w:numId w:val="7"/>
        </w:numPr>
        <w:tabs>
          <w:tab w:val="clear" w:pos="420"/>
        </w:tabs>
        <w:autoSpaceDE w:val="0"/>
        <w:autoSpaceDN w:val="0"/>
        <w:adjustRightInd w:val="0"/>
        <w:spacing w:line="480" w:lineRule="exact"/>
        <w:ind w:left="567" w:hanging="327"/>
        <w:rPr>
          <w:rFonts w:eastAsia="標楷體"/>
          <w:b/>
          <w:sz w:val="28"/>
          <w:szCs w:val="28"/>
        </w:rPr>
      </w:pPr>
      <w:r w:rsidRPr="00997F8D">
        <w:rPr>
          <w:rFonts w:eastAsia="標楷體" w:hint="eastAsia"/>
          <w:b/>
          <w:sz w:val="28"/>
          <w:szCs w:val="28"/>
        </w:rPr>
        <w:t>營運模式及規劃。</w:t>
      </w:r>
    </w:p>
    <w:p w:rsidR="005D6980" w:rsidRDefault="005D6980" w:rsidP="005D6980">
      <w:pPr>
        <w:autoSpaceDE w:val="0"/>
        <w:autoSpaceDN w:val="0"/>
        <w:adjustRightInd w:val="0"/>
        <w:spacing w:line="480" w:lineRule="exact"/>
        <w:ind w:left="567"/>
        <w:rPr>
          <w:rFonts w:eastAsia="標楷體"/>
          <w:sz w:val="28"/>
          <w:szCs w:val="28"/>
        </w:rPr>
      </w:pPr>
      <w:r>
        <w:rPr>
          <w:rFonts w:eastAsia="標楷體" w:hint="eastAsia"/>
          <w:sz w:val="28"/>
          <w:szCs w:val="28"/>
        </w:rPr>
        <w:t>本中心</w:t>
      </w:r>
      <w:r w:rsidRPr="001E02D4">
        <w:rPr>
          <w:rFonts w:eastAsia="標楷體" w:hint="eastAsia"/>
          <w:sz w:val="28"/>
          <w:szCs w:val="28"/>
        </w:rPr>
        <w:t>以</w:t>
      </w:r>
      <w:r>
        <w:rPr>
          <w:rFonts w:eastAsia="標楷體" w:hint="eastAsia"/>
          <w:sz w:val="28"/>
          <w:szCs w:val="28"/>
        </w:rPr>
        <w:t>預防醫學和非侵入式醫學為主要研究和推廣目標，在科學基礎上以模仿參考大自然的物理或化學結構衍生的</w:t>
      </w:r>
      <w:r w:rsidRPr="001E02D4">
        <w:rPr>
          <w:rFonts w:eastAsia="標楷體" w:hint="eastAsia"/>
          <w:sz w:val="28"/>
          <w:szCs w:val="28"/>
        </w:rPr>
        <w:t>仿生技術為</w:t>
      </w:r>
      <w:r>
        <w:rPr>
          <w:rFonts w:eastAsia="標楷體" w:hint="eastAsia"/>
          <w:sz w:val="28"/>
          <w:szCs w:val="28"/>
        </w:rPr>
        <w:t>發展方向。目前</w:t>
      </w:r>
      <w:r w:rsidRPr="001E02D4">
        <w:rPr>
          <w:rFonts w:eastAsia="標楷體" w:hint="eastAsia"/>
          <w:sz w:val="28"/>
          <w:szCs w:val="28"/>
        </w:rPr>
        <w:t>以仿生概念為核心，結合自有技術</w:t>
      </w:r>
      <w:r>
        <w:rPr>
          <w:rFonts w:eastAsia="標楷體" w:hint="eastAsia"/>
          <w:sz w:val="28"/>
          <w:szCs w:val="28"/>
        </w:rPr>
        <w:t>，如養生保健方法、</w:t>
      </w:r>
      <w:r w:rsidRPr="001E02D4">
        <w:rPr>
          <w:rFonts w:eastAsia="標楷體" w:hint="eastAsia"/>
          <w:sz w:val="28"/>
          <w:szCs w:val="28"/>
        </w:rPr>
        <w:t>微奈米圖案化製程、表面改質技術與檢測、生物相容</w:t>
      </w:r>
      <w:r>
        <w:rPr>
          <w:rFonts w:eastAsia="標楷體" w:hint="eastAsia"/>
          <w:sz w:val="28"/>
          <w:szCs w:val="28"/>
        </w:rPr>
        <w:t>性</w:t>
      </w:r>
      <w:r w:rsidRPr="001E02D4">
        <w:rPr>
          <w:rFonts w:eastAsia="標楷體" w:hint="eastAsia"/>
          <w:sz w:val="28"/>
          <w:szCs w:val="28"/>
        </w:rPr>
        <w:t>塗</w:t>
      </w:r>
      <w:r>
        <w:rPr>
          <w:rFonts w:eastAsia="標楷體" w:hint="eastAsia"/>
          <w:sz w:val="28"/>
          <w:szCs w:val="28"/>
        </w:rPr>
        <w:t>層技術等，分別</w:t>
      </w:r>
      <w:r w:rsidRPr="001E02D4">
        <w:rPr>
          <w:rFonts w:eastAsia="標楷體" w:hint="eastAsia"/>
          <w:sz w:val="28"/>
          <w:szCs w:val="28"/>
        </w:rPr>
        <w:t>發展</w:t>
      </w:r>
      <w:r>
        <w:rPr>
          <w:rFonts w:eastAsia="標楷體" w:hint="eastAsia"/>
          <w:sz w:val="28"/>
          <w:szCs w:val="28"/>
        </w:rPr>
        <w:t>預防醫學相關技術和產品，如養生保健技術和疾病先期診斷及感測技術等</w:t>
      </w:r>
      <w:r w:rsidRPr="001E02D4">
        <w:rPr>
          <w:rFonts w:eastAsia="標楷體" w:hint="eastAsia"/>
          <w:sz w:val="28"/>
          <w:szCs w:val="28"/>
        </w:rPr>
        <w:t>一系列</w:t>
      </w:r>
      <w:r>
        <w:rPr>
          <w:rFonts w:eastAsia="標楷體" w:hint="eastAsia"/>
          <w:sz w:val="28"/>
          <w:szCs w:val="28"/>
        </w:rPr>
        <w:t>技術，</w:t>
      </w:r>
      <w:r w:rsidRPr="001E02D4">
        <w:rPr>
          <w:rFonts w:eastAsia="標楷體" w:hint="eastAsia"/>
          <w:sz w:val="28"/>
          <w:szCs w:val="28"/>
        </w:rPr>
        <w:t>仿生表面黏著技術，包含物理及化學之沾黏和抗沾黏技術，並將核心技術專利化並發展</w:t>
      </w:r>
      <w:r w:rsidRPr="001E02D4">
        <w:rPr>
          <w:rFonts w:eastAsia="標楷體" w:hint="eastAsia"/>
          <w:sz w:val="28"/>
          <w:szCs w:val="28"/>
        </w:rPr>
        <w:t>me-only</w:t>
      </w:r>
      <w:r w:rsidRPr="001E02D4">
        <w:rPr>
          <w:rFonts w:eastAsia="標楷體" w:hint="eastAsia"/>
          <w:sz w:val="28"/>
          <w:szCs w:val="28"/>
        </w:rPr>
        <w:t>或</w:t>
      </w:r>
      <w:r w:rsidRPr="001E02D4">
        <w:rPr>
          <w:rFonts w:eastAsia="標楷體" w:hint="eastAsia"/>
          <w:sz w:val="28"/>
          <w:szCs w:val="28"/>
        </w:rPr>
        <w:t>me-better</w:t>
      </w:r>
      <w:r w:rsidRPr="001E02D4">
        <w:rPr>
          <w:rFonts w:eastAsia="標楷體" w:hint="eastAsia"/>
          <w:sz w:val="28"/>
          <w:szCs w:val="28"/>
        </w:rPr>
        <w:t>技術</w:t>
      </w:r>
      <w:r>
        <w:rPr>
          <w:rFonts w:eastAsia="標楷體" w:hint="eastAsia"/>
          <w:sz w:val="28"/>
          <w:szCs w:val="28"/>
        </w:rPr>
        <w:t>或產品</w:t>
      </w:r>
      <w:r w:rsidRPr="001E02D4">
        <w:rPr>
          <w:rFonts w:eastAsia="標楷體" w:hint="eastAsia"/>
          <w:sz w:val="28"/>
          <w:szCs w:val="28"/>
        </w:rPr>
        <w:t>，藉由論文發表、參與研發社群、媒體推廣報導、自行媒合等技術推廣管道，將現有仿生材料及技術與協力廠商申請政府計劃案，進一步提升產業附加價值，創造多贏的合作模式。</w:t>
      </w:r>
      <w:r>
        <w:rPr>
          <w:rFonts w:eastAsia="標楷體" w:hint="eastAsia"/>
          <w:sz w:val="28"/>
          <w:szCs w:val="28"/>
        </w:rPr>
        <w:t>本研究中心定位在作為學校學術研究的後續推廣平台，藉由尖端學術研究的初期成果作為開端，規劃過濾由可實行的成果作為作詳細的商業模式規劃，呈現較為成熟的技術或材料，以便進一步利用產學合作或技術移轉將學校研發成果順利推廣深化。目前規劃我們衍生的技術和產品如下圖：</w:t>
      </w:r>
    </w:p>
    <w:p w:rsidR="005D6980" w:rsidRDefault="00743BF9" w:rsidP="005D6980">
      <w:pPr>
        <w:autoSpaceDE w:val="0"/>
        <w:autoSpaceDN w:val="0"/>
        <w:adjustRightInd w:val="0"/>
        <w:rPr>
          <w:noProof/>
        </w:rPr>
      </w:pPr>
      <w:r>
        <w:rPr>
          <w:noProof/>
        </w:rPr>
        <w:lastRenderedPageBreak/>
        <w:drawing>
          <wp:inline distT="0" distB="0" distL="0" distR="0">
            <wp:extent cx="5953125" cy="4686300"/>
            <wp:effectExtent l="19050" t="0" r="9525"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srcRect/>
                    <a:stretch>
                      <a:fillRect/>
                    </a:stretch>
                  </pic:blipFill>
                  <pic:spPr bwMode="auto">
                    <a:xfrm>
                      <a:off x="0" y="0"/>
                      <a:ext cx="5953125" cy="4686300"/>
                    </a:xfrm>
                    <a:prstGeom prst="rect">
                      <a:avLst/>
                    </a:prstGeom>
                    <a:noFill/>
                    <a:ln w="9525">
                      <a:noFill/>
                      <a:miter lim="800000"/>
                      <a:headEnd/>
                      <a:tailEnd/>
                    </a:ln>
                  </pic:spPr>
                </pic:pic>
              </a:graphicData>
            </a:graphic>
          </wp:inline>
        </w:drawing>
      </w:r>
    </w:p>
    <w:p w:rsidR="005D6980" w:rsidRPr="00406D8B" w:rsidRDefault="005D6980" w:rsidP="005D6980">
      <w:pPr>
        <w:autoSpaceDE w:val="0"/>
        <w:autoSpaceDN w:val="0"/>
        <w:adjustRightInd w:val="0"/>
        <w:rPr>
          <w:rFonts w:eastAsia="標楷體"/>
          <w:sz w:val="28"/>
          <w:szCs w:val="28"/>
        </w:rPr>
      </w:pPr>
    </w:p>
    <w:p w:rsidR="005D6980" w:rsidRPr="003837AE" w:rsidRDefault="005D6980" w:rsidP="005D6980">
      <w:pPr>
        <w:numPr>
          <w:ilvl w:val="0"/>
          <w:numId w:val="7"/>
        </w:numPr>
        <w:tabs>
          <w:tab w:val="clear" w:pos="420"/>
        </w:tabs>
        <w:autoSpaceDE w:val="0"/>
        <w:autoSpaceDN w:val="0"/>
        <w:adjustRightInd w:val="0"/>
        <w:spacing w:line="480" w:lineRule="exact"/>
        <w:ind w:left="567" w:hanging="327"/>
        <w:rPr>
          <w:rFonts w:eastAsia="標楷體"/>
          <w:b/>
          <w:sz w:val="28"/>
          <w:szCs w:val="28"/>
        </w:rPr>
      </w:pPr>
      <w:r w:rsidRPr="003837AE">
        <w:rPr>
          <w:rFonts w:eastAsia="標楷體" w:hAnsi="標楷體"/>
          <w:b/>
          <w:sz w:val="28"/>
          <w:szCs w:val="28"/>
          <w:lang w:val="zh-TW"/>
        </w:rPr>
        <w:t>接受</w:t>
      </w:r>
      <w:r w:rsidRPr="003837AE">
        <w:rPr>
          <w:rFonts w:eastAsia="標楷體" w:hAnsi="標楷體" w:hint="eastAsia"/>
          <w:b/>
          <w:sz w:val="28"/>
          <w:szCs w:val="28"/>
          <w:lang w:val="zh-TW"/>
        </w:rPr>
        <w:t>政府及民間企業</w:t>
      </w:r>
      <w:r w:rsidRPr="003837AE">
        <w:rPr>
          <w:rFonts w:eastAsia="標楷體" w:hAnsi="標楷體"/>
          <w:b/>
          <w:sz w:val="28"/>
          <w:szCs w:val="28"/>
          <w:lang w:val="zh-TW"/>
        </w:rPr>
        <w:t>委託進行之相關研究</w:t>
      </w:r>
      <w:r w:rsidRPr="003837AE">
        <w:rPr>
          <w:rFonts w:eastAsia="標楷體" w:hAnsi="標楷體" w:hint="eastAsia"/>
          <w:b/>
          <w:sz w:val="28"/>
          <w:szCs w:val="28"/>
          <w:lang w:val="zh-TW"/>
        </w:rPr>
        <w:t>及委託檢測分析</w:t>
      </w:r>
      <w:r w:rsidRPr="003837AE">
        <w:rPr>
          <w:rFonts w:eastAsia="標楷體" w:hAnsi="標楷體"/>
          <w:b/>
          <w:sz w:val="28"/>
          <w:szCs w:val="28"/>
          <w:lang w:val="zh-TW"/>
        </w:rPr>
        <w:t>案。</w:t>
      </w:r>
    </w:p>
    <w:p w:rsidR="005D6980" w:rsidRPr="00A552C1" w:rsidRDefault="005D6980" w:rsidP="005D6980">
      <w:pPr>
        <w:autoSpaceDE w:val="0"/>
        <w:autoSpaceDN w:val="0"/>
        <w:adjustRightInd w:val="0"/>
        <w:spacing w:line="480" w:lineRule="exact"/>
        <w:ind w:left="567"/>
        <w:rPr>
          <w:rFonts w:eastAsia="標楷體"/>
          <w:sz w:val="28"/>
          <w:szCs w:val="28"/>
        </w:rPr>
      </w:pPr>
      <w:r>
        <w:rPr>
          <w:rFonts w:eastAsia="標楷體" w:hAnsi="標楷體" w:hint="eastAsia"/>
          <w:sz w:val="28"/>
          <w:szCs w:val="28"/>
          <w:lang w:val="zh-TW"/>
        </w:rPr>
        <w:t>預計每年執行一件以上的政府計畫案如科技部專題計畫，或經濟部、衛福部的委託研究案，包括參與</w:t>
      </w:r>
      <w:r>
        <w:rPr>
          <w:rFonts w:eastAsia="標楷體" w:hAnsi="標楷體" w:hint="eastAsia"/>
          <w:sz w:val="28"/>
          <w:szCs w:val="28"/>
          <w:lang w:val="zh-TW"/>
        </w:rPr>
        <w:t>SBIR</w:t>
      </w:r>
      <w:r>
        <w:rPr>
          <w:rFonts w:eastAsia="標楷體" w:hAnsi="標楷體" w:hint="eastAsia"/>
          <w:sz w:val="28"/>
          <w:szCs w:val="28"/>
          <w:lang w:val="zh-TW"/>
        </w:rPr>
        <w:t>、</w:t>
      </w:r>
      <w:r>
        <w:rPr>
          <w:rFonts w:eastAsia="標楷體" w:hAnsi="標楷體" w:hint="eastAsia"/>
          <w:sz w:val="28"/>
          <w:szCs w:val="28"/>
          <w:lang w:val="zh-TW"/>
        </w:rPr>
        <w:t>CITD</w:t>
      </w:r>
      <w:r>
        <w:rPr>
          <w:rFonts w:eastAsia="標楷體" w:hAnsi="標楷體" w:hint="eastAsia"/>
          <w:sz w:val="28"/>
          <w:szCs w:val="28"/>
          <w:lang w:val="zh-TW"/>
        </w:rPr>
        <w:t>或相關計畫。並規劃二件以上的企業委託案，包括與企業自行媒合的合作計畫，或參與企業執行</w:t>
      </w:r>
      <w:r>
        <w:rPr>
          <w:rFonts w:eastAsia="標楷體" w:hAnsi="標楷體" w:hint="eastAsia"/>
          <w:sz w:val="28"/>
          <w:szCs w:val="28"/>
          <w:lang w:val="zh-TW"/>
        </w:rPr>
        <w:t>SBIR</w:t>
      </w:r>
      <w:r>
        <w:rPr>
          <w:rFonts w:eastAsia="標楷體" w:hAnsi="標楷體" w:hint="eastAsia"/>
          <w:sz w:val="28"/>
          <w:szCs w:val="28"/>
          <w:lang w:val="zh-TW"/>
        </w:rPr>
        <w:t>、</w:t>
      </w:r>
      <w:r>
        <w:rPr>
          <w:rFonts w:eastAsia="標楷體" w:hAnsi="標楷體" w:hint="eastAsia"/>
          <w:sz w:val="28"/>
          <w:szCs w:val="28"/>
          <w:lang w:val="zh-TW"/>
        </w:rPr>
        <w:t>CITD</w:t>
      </w:r>
      <w:r>
        <w:rPr>
          <w:rFonts w:eastAsia="標楷體" w:hAnsi="標楷體" w:hint="eastAsia"/>
          <w:sz w:val="28"/>
          <w:szCs w:val="28"/>
          <w:lang w:val="zh-TW"/>
        </w:rPr>
        <w:t>等政府計畫之委託研究或檢測分析。</w:t>
      </w:r>
    </w:p>
    <w:p w:rsidR="005D6980" w:rsidRPr="003837AE" w:rsidRDefault="005D6980" w:rsidP="005D6980">
      <w:pPr>
        <w:numPr>
          <w:ilvl w:val="0"/>
          <w:numId w:val="7"/>
        </w:numPr>
        <w:tabs>
          <w:tab w:val="clear" w:pos="420"/>
        </w:tabs>
        <w:autoSpaceDE w:val="0"/>
        <w:autoSpaceDN w:val="0"/>
        <w:adjustRightInd w:val="0"/>
        <w:spacing w:line="480" w:lineRule="exact"/>
        <w:ind w:left="567" w:hanging="327"/>
        <w:rPr>
          <w:rFonts w:eastAsia="標楷體"/>
          <w:b/>
          <w:sz w:val="28"/>
          <w:szCs w:val="28"/>
        </w:rPr>
      </w:pPr>
      <w:r w:rsidRPr="003837AE">
        <w:rPr>
          <w:rFonts w:eastAsia="標楷體" w:hAnsi="標楷體"/>
          <w:b/>
          <w:sz w:val="28"/>
          <w:szCs w:val="28"/>
          <w:lang w:val="zh-TW"/>
        </w:rPr>
        <w:t>辦</w:t>
      </w:r>
      <w:r>
        <w:rPr>
          <w:rFonts w:eastAsia="標楷體" w:hAnsi="標楷體" w:hint="eastAsia"/>
          <w:b/>
          <w:sz w:val="28"/>
          <w:szCs w:val="28"/>
          <w:lang w:val="zh-TW"/>
        </w:rPr>
        <w:t>理</w:t>
      </w:r>
      <w:r w:rsidRPr="003837AE">
        <w:rPr>
          <w:rFonts w:eastAsia="標楷體" w:hAnsi="標楷體" w:hint="eastAsia"/>
          <w:b/>
          <w:sz w:val="28"/>
          <w:szCs w:val="28"/>
          <w:lang w:val="zh-TW"/>
        </w:rPr>
        <w:t>預防保健、仿生科技、醫材表面處理等</w:t>
      </w:r>
      <w:r w:rsidRPr="003837AE">
        <w:rPr>
          <w:rFonts w:eastAsia="標楷體" w:hAnsi="標楷體"/>
          <w:b/>
          <w:sz w:val="28"/>
          <w:szCs w:val="28"/>
          <w:lang w:val="zh-TW"/>
        </w:rPr>
        <w:t>相關議題之</w:t>
      </w:r>
      <w:r>
        <w:rPr>
          <w:rFonts w:eastAsia="標楷體" w:hAnsi="標楷體" w:hint="eastAsia"/>
          <w:b/>
          <w:sz w:val="28"/>
          <w:szCs w:val="28"/>
          <w:lang w:val="zh-TW"/>
        </w:rPr>
        <w:t>研習課程</w:t>
      </w:r>
      <w:r w:rsidRPr="003837AE">
        <w:rPr>
          <w:rFonts w:eastAsia="標楷體" w:hAnsi="標楷體"/>
          <w:b/>
          <w:sz w:val="28"/>
          <w:szCs w:val="28"/>
          <w:lang w:val="zh-TW"/>
        </w:rPr>
        <w:t>或</w:t>
      </w:r>
      <w:r>
        <w:rPr>
          <w:rFonts w:eastAsia="標楷體" w:hAnsi="標楷體" w:hint="eastAsia"/>
          <w:b/>
          <w:sz w:val="28"/>
          <w:szCs w:val="28"/>
          <w:lang w:val="zh-TW"/>
        </w:rPr>
        <w:t>推廣活動</w:t>
      </w:r>
      <w:r w:rsidRPr="003837AE">
        <w:rPr>
          <w:rFonts w:eastAsia="標楷體" w:hAnsi="標楷體"/>
          <w:b/>
          <w:sz w:val="28"/>
          <w:szCs w:val="28"/>
          <w:lang w:val="zh-TW"/>
        </w:rPr>
        <w:t>。</w:t>
      </w:r>
    </w:p>
    <w:p w:rsidR="005D6980" w:rsidRPr="008D0997" w:rsidRDefault="005D6980" w:rsidP="005D6980">
      <w:pPr>
        <w:autoSpaceDE w:val="0"/>
        <w:autoSpaceDN w:val="0"/>
        <w:adjustRightInd w:val="0"/>
        <w:spacing w:line="480" w:lineRule="exact"/>
        <w:ind w:left="567"/>
        <w:rPr>
          <w:rFonts w:eastAsia="標楷體"/>
          <w:sz w:val="28"/>
          <w:szCs w:val="28"/>
        </w:rPr>
      </w:pPr>
      <w:r>
        <w:rPr>
          <w:rFonts w:eastAsia="標楷體" w:hint="eastAsia"/>
          <w:sz w:val="28"/>
          <w:szCs w:val="28"/>
        </w:rPr>
        <w:t>預計規劃三年的初階、中階及進階的養生保健研習課程，輔以案例探討及實證研究，形成一健康推廣聚落。另外在專業技術方面，將持續推廣仿生科技，預計在暑假舉辦青少年營隊，聘請相關領域專家及經驗講師，配合建議的實驗製作，教育仿生、自然、模仿、創造的方法和技術。此外，研究中心選定醫療器材的表面處理和有機生醫材料方面，結合學校擁有表面處理及分析和應用的設備和資源，將與鄰近地區的企業合作，舉辦相關表</w:t>
      </w:r>
      <w:r>
        <w:rPr>
          <w:rFonts w:eastAsia="標楷體" w:hint="eastAsia"/>
          <w:sz w:val="28"/>
          <w:szCs w:val="28"/>
        </w:rPr>
        <w:lastRenderedPageBreak/>
        <w:t>面處理和生醫材料的專業研習課程或工作坊。</w:t>
      </w:r>
    </w:p>
    <w:p w:rsidR="005D6980" w:rsidRPr="003837AE" w:rsidRDefault="005D6980" w:rsidP="005D6980">
      <w:pPr>
        <w:numPr>
          <w:ilvl w:val="0"/>
          <w:numId w:val="7"/>
        </w:numPr>
        <w:tabs>
          <w:tab w:val="clear" w:pos="420"/>
        </w:tabs>
        <w:autoSpaceDE w:val="0"/>
        <w:autoSpaceDN w:val="0"/>
        <w:adjustRightInd w:val="0"/>
        <w:spacing w:line="480" w:lineRule="exact"/>
        <w:ind w:left="567" w:hanging="327"/>
        <w:rPr>
          <w:rFonts w:eastAsia="標楷體"/>
          <w:b/>
          <w:sz w:val="28"/>
          <w:szCs w:val="28"/>
        </w:rPr>
      </w:pPr>
      <w:r w:rsidRPr="003837AE">
        <w:rPr>
          <w:rFonts w:eastAsia="標楷體" w:hAnsi="標楷體" w:hint="eastAsia"/>
          <w:b/>
          <w:sz w:val="28"/>
          <w:szCs w:val="28"/>
          <w:lang w:val="zh-TW"/>
        </w:rPr>
        <w:t>結合</w:t>
      </w:r>
      <w:r w:rsidRPr="003837AE">
        <w:rPr>
          <w:rFonts w:eastAsia="標楷體" w:hAnsi="標楷體"/>
          <w:b/>
          <w:sz w:val="28"/>
          <w:szCs w:val="28"/>
          <w:lang w:val="zh-TW"/>
        </w:rPr>
        <w:t>國內外相關議題之</w:t>
      </w:r>
      <w:r w:rsidRPr="003837AE">
        <w:rPr>
          <w:rFonts w:eastAsia="標楷體" w:hAnsi="標楷體" w:hint="eastAsia"/>
          <w:b/>
          <w:sz w:val="28"/>
          <w:szCs w:val="28"/>
          <w:lang w:val="zh-TW"/>
        </w:rPr>
        <w:t>實驗室或</w:t>
      </w:r>
      <w:r w:rsidRPr="003837AE">
        <w:rPr>
          <w:rFonts w:eastAsia="標楷體" w:hAnsi="標楷體"/>
          <w:b/>
          <w:sz w:val="28"/>
          <w:szCs w:val="28"/>
          <w:lang w:val="zh-TW"/>
        </w:rPr>
        <w:t>研究中心進行合作事宜。</w:t>
      </w:r>
    </w:p>
    <w:p w:rsidR="005D6980" w:rsidRPr="00072416" w:rsidRDefault="005D6980" w:rsidP="005D6980">
      <w:pPr>
        <w:autoSpaceDE w:val="0"/>
        <w:autoSpaceDN w:val="0"/>
        <w:adjustRightInd w:val="0"/>
        <w:spacing w:line="480" w:lineRule="exact"/>
        <w:ind w:left="567"/>
        <w:rPr>
          <w:rFonts w:eastAsia="標楷體"/>
          <w:sz w:val="28"/>
          <w:szCs w:val="28"/>
        </w:rPr>
      </w:pPr>
      <w:r>
        <w:rPr>
          <w:rFonts w:eastAsia="標楷體" w:hint="eastAsia"/>
          <w:sz w:val="28"/>
          <w:szCs w:val="28"/>
        </w:rPr>
        <w:t>本中心將加強與國外仿生大師</w:t>
      </w:r>
      <w:r>
        <w:rPr>
          <w:rFonts w:eastAsia="標楷體" w:hint="eastAsia"/>
          <w:sz w:val="28"/>
          <w:szCs w:val="28"/>
        </w:rPr>
        <w:t>Ms. Jannine</w:t>
      </w:r>
      <w:r>
        <w:rPr>
          <w:rFonts w:eastAsia="標楷體" w:hint="eastAsia"/>
          <w:sz w:val="28"/>
          <w:szCs w:val="28"/>
        </w:rPr>
        <w:t>聯繫合作，並將其</w:t>
      </w:r>
      <w:r>
        <w:rPr>
          <w:rFonts w:eastAsia="標楷體" w:hint="eastAsia"/>
          <w:sz w:val="28"/>
          <w:szCs w:val="28"/>
        </w:rPr>
        <w:t>Ask Nature (</w:t>
      </w:r>
      <w:r w:rsidRPr="00072416">
        <w:rPr>
          <w:rFonts w:eastAsia="標楷體"/>
          <w:sz w:val="28"/>
          <w:szCs w:val="28"/>
        </w:rPr>
        <w:t>http://www.asknature.org/</w:t>
      </w:r>
      <w:r>
        <w:rPr>
          <w:rFonts w:eastAsia="標楷體" w:hint="eastAsia"/>
          <w:sz w:val="28"/>
          <w:szCs w:val="28"/>
        </w:rPr>
        <w:t>)</w:t>
      </w:r>
      <w:r>
        <w:rPr>
          <w:rFonts w:eastAsia="標楷體" w:hint="eastAsia"/>
          <w:sz w:val="28"/>
          <w:szCs w:val="28"/>
        </w:rPr>
        <w:t>的豐富生物特性內容隨時報導，以便規劃結合仿生的生醫研發主題。此外，我們將持續與日本生醫材料協會理事長</w:t>
      </w:r>
      <w:r>
        <w:rPr>
          <w:rFonts w:eastAsia="標楷體" w:hint="eastAsia"/>
          <w:sz w:val="28"/>
          <w:szCs w:val="28"/>
        </w:rPr>
        <w:t>Ishihara</w:t>
      </w:r>
      <w:r>
        <w:rPr>
          <w:rFonts w:eastAsia="標楷體" w:hint="eastAsia"/>
          <w:sz w:val="28"/>
          <w:szCs w:val="28"/>
        </w:rPr>
        <w:t>教授團隊交流，研發生物相容的處理塗層。國內學者方面則將與成功大學的林睿哲教授、李澤民教授、中原大學薄膜中心的張雍教授等相關領域專家交流，尋求合作共同開發的生醫材料。中醫養生方面則持續與中醫博士</w:t>
      </w:r>
      <w:r>
        <w:rPr>
          <w:rFonts w:eastAsia="標楷體" w:hint="eastAsia"/>
          <w:sz w:val="28"/>
          <w:szCs w:val="28"/>
        </w:rPr>
        <w:t>(</w:t>
      </w:r>
      <w:r>
        <w:rPr>
          <w:rFonts w:eastAsia="標楷體" w:hint="eastAsia"/>
          <w:sz w:val="28"/>
          <w:szCs w:val="28"/>
        </w:rPr>
        <w:t>養生達人</w:t>
      </w:r>
      <w:r>
        <w:rPr>
          <w:rFonts w:eastAsia="標楷體" w:hint="eastAsia"/>
          <w:sz w:val="28"/>
          <w:szCs w:val="28"/>
        </w:rPr>
        <w:t>)</w:t>
      </w:r>
      <w:r>
        <w:rPr>
          <w:rFonts w:eastAsia="標楷體" w:hint="eastAsia"/>
          <w:sz w:val="28"/>
          <w:szCs w:val="28"/>
        </w:rPr>
        <w:t>張峻斌博士、慈化亭觀音佛學研究院中醫課程張福春院長、義守大學學士後中醫系等研討開發，規劃低侵入性的中醫醫材產品。</w:t>
      </w:r>
    </w:p>
    <w:p w:rsidR="005D6980" w:rsidRDefault="005D6980" w:rsidP="005D6980">
      <w:pPr>
        <w:numPr>
          <w:ilvl w:val="0"/>
          <w:numId w:val="7"/>
        </w:numPr>
        <w:tabs>
          <w:tab w:val="clear" w:pos="420"/>
        </w:tabs>
        <w:autoSpaceDE w:val="0"/>
        <w:autoSpaceDN w:val="0"/>
        <w:adjustRightInd w:val="0"/>
        <w:spacing w:line="480" w:lineRule="exact"/>
        <w:ind w:left="567" w:hanging="327"/>
        <w:rPr>
          <w:rFonts w:eastAsia="標楷體"/>
          <w:b/>
          <w:sz w:val="28"/>
          <w:szCs w:val="28"/>
        </w:rPr>
      </w:pPr>
      <w:r>
        <w:rPr>
          <w:rFonts w:eastAsia="標楷體" w:hint="eastAsia"/>
          <w:b/>
          <w:sz w:val="28"/>
          <w:szCs w:val="28"/>
        </w:rPr>
        <w:t>研發健康及仿生科技相關的技術或產品</w:t>
      </w:r>
    </w:p>
    <w:p w:rsidR="005D6980" w:rsidRPr="00C768B2" w:rsidRDefault="005D6980" w:rsidP="005D6980">
      <w:pPr>
        <w:autoSpaceDE w:val="0"/>
        <w:autoSpaceDN w:val="0"/>
        <w:adjustRightInd w:val="0"/>
        <w:spacing w:line="480" w:lineRule="exact"/>
        <w:ind w:left="567"/>
        <w:rPr>
          <w:rFonts w:eastAsia="標楷體"/>
          <w:sz w:val="28"/>
          <w:szCs w:val="28"/>
        </w:rPr>
      </w:pPr>
      <w:r>
        <w:rPr>
          <w:rFonts w:eastAsia="標楷體" w:hint="eastAsia"/>
          <w:sz w:val="28"/>
          <w:szCs w:val="28"/>
        </w:rPr>
        <w:t>藉由研究計畫的參與和協助，本中心將能掌握目前產業和市場的需要，進而結合學術單位的研究能量，發展出獨特或功能性的產品和技術，未來可以提供產業界關鍵技術，或是提供特殊的原物料。規劃衍生的技術或產品如「營運模式及規畫」之樹狀圖所示。</w:t>
      </w:r>
    </w:p>
    <w:p w:rsidR="005D6980" w:rsidRPr="003837AE" w:rsidRDefault="005D6980" w:rsidP="005D6980">
      <w:pPr>
        <w:numPr>
          <w:ilvl w:val="0"/>
          <w:numId w:val="7"/>
        </w:numPr>
        <w:tabs>
          <w:tab w:val="clear" w:pos="420"/>
        </w:tabs>
        <w:autoSpaceDE w:val="0"/>
        <w:autoSpaceDN w:val="0"/>
        <w:adjustRightInd w:val="0"/>
        <w:spacing w:line="480" w:lineRule="exact"/>
        <w:ind w:left="567" w:hanging="327"/>
        <w:rPr>
          <w:rFonts w:eastAsia="標楷體"/>
          <w:b/>
          <w:sz w:val="28"/>
          <w:szCs w:val="28"/>
        </w:rPr>
      </w:pPr>
      <w:r w:rsidRPr="003837AE">
        <w:rPr>
          <w:rFonts w:eastAsia="標楷體" w:hAnsi="標楷體"/>
          <w:b/>
          <w:sz w:val="28"/>
          <w:szCs w:val="28"/>
          <w:lang w:val="zh-TW"/>
        </w:rPr>
        <w:t>其他相關議題之</w:t>
      </w:r>
      <w:r w:rsidRPr="003837AE">
        <w:rPr>
          <w:rFonts w:eastAsia="標楷體" w:hAnsi="標楷體" w:hint="eastAsia"/>
          <w:b/>
          <w:sz w:val="28"/>
          <w:szCs w:val="28"/>
          <w:lang w:val="zh-TW"/>
        </w:rPr>
        <w:t>實務</w:t>
      </w:r>
      <w:r>
        <w:rPr>
          <w:rFonts w:eastAsia="標楷體" w:hAnsi="標楷體"/>
          <w:b/>
          <w:sz w:val="28"/>
          <w:szCs w:val="28"/>
          <w:lang w:val="zh-TW"/>
        </w:rPr>
        <w:t>參訪或教學活動</w:t>
      </w:r>
    </w:p>
    <w:p w:rsidR="005D6980" w:rsidRPr="00926A7A" w:rsidRDefault="005D6980" w:rsidP="005D6980">
      <w:pPr>
        <w:autoSpaceDE w:val="0"/>
        <w:autoSpaceDN w:val="0"/>
        <w:adjustRightInd w:val="0"/>
        <w:spacing w:line="480" w:lineRule="exact"/>
        <w:ind w:left="567"/>
        <w:rPr>
          <w:rFonts w:eastAsia="標楷體"/>
          <w:sz w:val="28"/>
          <w:szCs w:val="28"/>
        </w:rPr>
      </w:pPr>
      <w:r>
        <w:rPr>
          <w:rFonts w:eastAsia="標楷體" w:hAnsi="標楷體" w:hint="eastAsia"/>
          <w:sz w:val="28"/>
          <w:szCs w:val="28"/>
          <w:lang w:val="zh-TW"/>
        </w:rPr>
        <w:t>本中心將不定時舉辦仿生科技及醫療器材產業的參訪，亦可結合校內生醫相關課程，連同學員和企業代表參與參訪和座談，以便更能切實掌握產業問題，隨時了解產業動態，並可藉由彼此認識媒合，形成一產學聯盟。</w:t>
      </w:r>
    </w:p>
    <w:p w:rsidR="005D6980" w:rsidRPr="003837AE" w:rsidRDefault="005D6980" w:rsidP="005D6980">
      <w:pPr>
        <w:numPr>
          <w:ilvl w:val="0"/>
          <w:numId w:val="7"/>
        </w:numPr>
        <w:tabs>
          <w:tab w:val="clear" w:pos="420"/>
        </w:tabs>
        <w:autoSpaceDE w:val="0"/>
        <w:autoSpaceDN w:val="0"/>
        <w:adjustRightInd w:val="0"/>
        <w:spacing w:line="480" w:lineRule="exact"/>
        <w:ind w:left="567" w:hanging="327"/>
        <w:rPr>
          <w:rFonts w:eastAsia="標楷體"/>
          <w:b/>
          <w:sz w:val="28"/>
          <w:szCs w:val="28"/>
        </w:rPr>
      </w:pPr>
      <w:r>
        <w:rPr>
          <w:rFonts w:eastAsia="標楷體" w:hint="eastAsia"/>
          <w:b/>
          <w:sz w:val="28"/>
          <w:szCs w:val="28"/>
        </w:rPr>
        <w:t>促成</w:t>
      </w:r>
      <w:r w:rsidRPr="003837AE">
        <w:rPr>
          <w:rFonts w:eastAsia="標楷體" w:hint="eastAsia"/>
          <w:b/>
          <w:sz w:val="28"/>
          <w:szCs w:val="28"/>
        </w:rPr>
        <w:t>技術移轉或專利授權</w:t>
      </w:r>
    </w:p>
    <w:p w:rsidR="005D6980" w:rsidRPr="003837AE" w:rsidRDefault="005D6980" w:rsidP="005D6980">
      <w:pPr>
        <w:autoSpaceDE w:val="0"/>
        <w:autoSpaceDN w:val="0"/>
        <w:adjustRightInd w:val="0"/>
        <w:spacing w:line="480" w:lineRule="exact"/>
        <w:ind w:left="567"/>
        <w:rPr>
          <w:rFonts w:eastAsia="標楷體"/>
          <w:sz w:val="28"/>
          <w:szCs w:val="28"/>
        </w:rPr>
      </w:pPr>
      <w:r>
        <w:rPr>
          <w:rFonts w:eastAsia="標楷體" w:hint="eastAsia"/>
          <w:sz w:val="28"/>
          <w:szCs w:val="28"/>
        </w:rPr>
        <w:t>透過完整的技術內容及專利保護，使實驗室內的研究成果，經由研究中心的實用推廣及小批量運作等研究，可以藉由移轉技術或持續的技術服務，或是單純專利及技術授權，直接推動到公司企業中，促進產學實質合作，並藉由授權金促進更多的研究開發和技術熟成，以活絡滾動學校的產學合作能量。預計三年後至少促成一件技術移轉或專利授權。</w:t>
      </w:r>
    </w:p>
    <w:p w:rsidR="005D6980" w:rsidRPr="00997F8D" w:rsidRDefault="005D6980" w:rsidP="005D6980">
      <w:pPr>
        <w:numPr>
          <w:ilvl w:val="0"/>
          <w:numId w:val="7"/>
        </w:numPr>
        <w:tabs>
          <w:tab w:val="clear" w:pos="420"/>
        </w:tabs>
        <w:autoSpaceDE w:val="0"/>
        <w:autoSpaceDN w:val="0"/>
        <w:adjustRightInd w:val="0"/>
        <w:spacing w:line="480" w:lineRule="exact"/>
        <w:ind w:left="567" w:hanging="327"/>
        <w:rPr>
          <w:rFonts w:eastAsia="標楷體"/>
          <w:b/>
          <w:sz w:val="28"/>
          <w:szCs w:val="28"/>
        </w:rPr>
      </w:pPr>
      <w:r>
        <w:rPr>
          <w:rFonts w:eastAsia="標楷體" w:hAnsi="標楷體" w:hint="eastAsia"/>
          <w:b/>
          <w:sz w:val="28"/>
          <w:szCs w:val="28"/>
        </w:rPr>
        <w:t>整合</w:t>
      </w:r>
      <w:r>
        <w:rPr>
          <w:rFonts w:eastAsia="標楷體" w:hAnsi="標楷體" w:hint="eastAsia"/>
          <w:b/>
          <w:sz w:val="28"/>
          <w:szCs w:val="28"/>
          <w:lang w:val="zh-TW"/>
        </w:rPr>
        <w:t>設計者概念和使用者經驗的技術理念推廣及</w:t>
      </w:r>
      <w:r w:rsidRPr="00997F8D">
        <w:rPr>
          <w:rFonts w:eastAsia="標楷體" w:hAnsi="標楷體" w:hint="eastAsia"/>
          <w:b/>
          <w:sz w:val="28"/>
          <w:szCs w:val="28"/>
          <w:lang w:val="zh-TW"/>
        </w:rPr>
        <w:t>行銷模式</w:t>
      </w:r>
    </w:p>
    <w:p w:rsidR="005D6980" w:rsidRPr="003837AE" w:rsidRDefault="005D6980" w:rsidP="005D6980">
      <w:pPr>
        <w:autoSpaceDE w:val="0"/>
        <w:autoSpaceDN w:val="0"/>
        <w:adjustRightInd w:val="0"/>
        <w:spacing w:line="480" w:lineRule="exact"/>
        <w:ind w:left="567"/>
        <w:rPr>
          <w:rFonts w:eastAsia="標楷體"/>
          <w:sz w:val="28"/>
          <w:szCs w:val="28"/>
        </w:rPr>
      </w:pPr>
      <w:r>
        <w:rPr>
          <w:rFonts w:eastAsia="標楷體" w:hint="eastAsia"/>
          <w:sz w:val="28"/>
          <w:szCs w:val="28"/>
        </w:rPr>
        <w:t>預防醫學、非侵入醫學和仿生等概念在一般民眾眼中是逐漸著重，但是其要旨仍有許多偏頗不足，本中心將</w:t>
      </w:r>
      <w:r w:rsidRPr="001E02D4">
        <w:rPr>
          <w:rFonts w:eastAsia="標楷體" w:hint="eastAsia"/>
          <w:sz w:val="28"/>
          <w:szCs w:val="28"/>
        </w:rPr>
        <w:t>藉由論文發表、參與研發社群、媒體推廣報導、自行媒合等技術推廣管道</w:t>
      </w:r>
      <w:r>
        <w:rPr>
          <w:rFonts w:eastAsia="標楷體" w:hint="eastAsia"/>
          <w:sz w:val="28"/>
          <w:szCs w:val="28"/>
        </w:rPr>
        <w:t>，將技術理念推廣週知，造福更多的人群。但另一方面，我們亦將利用各種講習課程與需求民眾的問題概念蒐集，</w:t>
      </w:r>
      <w:r>
        <w:rPr>
          <w:rFonts w:eastAsia="標楷體" w:hint="eastAsia"/>
          <w:sz w:val="28"/>
          <w:szCs w:val="28"/>
        </w:rPr>
        <w:lastRenderedPageBreak/>
        <w:t>並與負責臨床的中西醫師操作經驗結合，設計</w:t>
      </w:r>
      <w:r>
        <w:rPr>
          <w:rFonts w:eastAsia="標楷體" w:hint="eastAsia"/>
          <w:sz w:val="28"/>
          <w:szCs w:val="28"/>
        </w:rPr>
        <w:t>me-only</w:t>
      </w:r>
      <w:r>
        <w:rPr>
          <w:rFonts w:eastAsia="標楷體" w:hint="eastAsia"/>
          <w:sz w:val="28"/>
          <w:szCs w:val="28"/>
        </w:rPr>
        <w:t>的新世代產品，並藉由問題回饋不斷增進其實用化。</w:t>
      </w:r>
    </w:p>
    <w:p w:rsidR="005D6980" w:rsidRPr="004765D1" w:rsidRDefault="005D6980" w:rsidP="005D6980">
      <w:pPr>
        <w:autoSpaceDE w:val="0"/>
        <w:autoSpaceDN w:val="0"/>
        <w:adjustRightInd w:val="0"/>
        <w:spacing w:line="480" w:lineRule="exact"/>
        <w:ind w:left="567"/>
        <w:rPr>
          <w:rFonts w:eastAsia="標楷體"/>
          <w:sz w:val="28"/>
          <w:szCs w:val="28"/>
        </w:rPr>
      </w:pPr>
    </w:p>
    <w:p w:rsidR="005D6980" w:rsidRPr="00A00319" w:rsidRDefault="005D6980" w:rsidP="00B9703B">
      <w:pPr>
        <w:numPr>
          <w:ilvl w:val="0"/>
          <w:numId w:val="5"/>
        </w:numPr>
        <w:tabs>
          <w:tab w:val="clear" w:pos="480"/>
        </w:tabs>
        <w:autoSpaceDE w:val="0"/>
        <w:autoSpaceDN w:val="0"/>
        <w:adjustRightInd w:val="0"/>
        <w:spacing w:beforeLines="50" w:before="180" w:line="480" w:lineRule="exact"/>
        <w:ind w:left="567" w:hanging="567"/>
        <w:rPr>
          <w:rFonts w:eastAsia="標楷體"/>
          <w:sz w:val="28"/>
          <w:szCs w:val="28"/>
        </w:rPr>
      </w:pPr>
      <w:r w:rsidRPr="005D55F6">
        <w:rPr>
          <w:rFonts w:eastAsia="標楷體" w:hAnsi="標楷體"/>
          <w:b/>
          <w:sz w:val="28"/>
          <w:szCs w:val="28"/>
        </w:rPr>
        <w:t>運作空間</w:t>
      </w:r>
      <w:r w:rsidRPr="008D0997">
        <w:rPr>
          <w:rFonts w:eastAsia="標楷體" w:hAnsi="標楷體"/>
          <w:sz w:val="28"/>
          <w:szCs w:val="28"/>
        </w:rPr>
        <w:t>：</w:t>
      </w:r>
    </w:p>
    <w:p w:rsidR="005D6980" w:rsidRPr="008D0997" w:rsidRDefault="005D6980" w:rsidP="00B9703B">
      <w:pPr>
        <w:autoSpaceDE w:val="0"/>
        <w:autoSpaceDN w:val="0"/>
        <w:adjustRightInd w:val="0"/>
        <w:spacing w:beforeLines="50" w:before="180" w:line="480" w:lineRule="exact"/>
        <w:ind w:leftChars="236" w:left="566"/>
        <w:rPr>
          <w:rFonts w:eastAsia="標楷體"/>
          <w:sz w:val="28"/>
          <w:szCs w:val="28"/>
        </w:rPr>
      </w:pPr>
      <w:r w:rsidRPr="004765D1">
        <w:rPr>
          <w:rFonts w:eastAsia="標楷體" w:hint="eastAsia"/>
          <w:sz w:val="28"/>
          <w:szCs w:val="28"/>
        </w:rPr>
        <w:t>本中心將暫定於工學院大樓</w:t>
      </w:r>
      <w:r>
        <w:rPr>
          <w:rFonts w:eastAsia="標楷體" w:hint="eastAsia"/>
          <w:sz w:val="28"/>
          <w:szCs w:val="28"/>
        </w:rPr>
        <w:t>305-1</w:t>
      </w:r>
      <w:r>
        <w:rPr>
          <w:rFonts w:eastAsia="標楷體" w:hint="eastAsia"/>
          <w:sz w:val="28"/>
          <w:szCs w:val="28"/>
        </w:rPr>
        <w:t>實驗室</w:t>
      </w:r>
      <w:r w:rsidRPr="004765D1">
        <w:rPr>
          <w:rFonts w:eastAsia="標楷體" w:hint="eastAsia"/>
          <w:sz w:val="28"/>
          <w:szCs w:val="28"/>
        </w:rPr>
        <w:t>之空間。</w:t>
      </w:r>
    </w:p>
    <w:p w:rsidR="005D6980" w:rsidRPr="00A00319" w:rsidRDefault="005D6980" w:rsidP="00B9703B">
      <w:pPr>
        <w:numPr>
          <w:ilvl w:val="0"/>
          <w:numId w:val="5"/>
        </w:numPr>
        <w:tabs>
          <w:tab w:val="clear" w:pos="480"/>
        </w:tabs>
        <w:autoSpaceDE w:val="0"/>
        <w:autoSpaceDN w:val="0"/>
        <w:adjustRightInd w:val="0"/>
        <w:spacing w:beforeLines="50" w:before="180" w:line="480" w:lineRule="exact"/>
        <w:ind w:left="567" w:hanging="567"/>
        <w:rPr>
          <w:rFonts w:eastAsia="標楷體"/>
          <w:sz w:val="28"/>
          <w:szCs w:val="28"/>
        </w:rPr>
      </w:pPr>
      <w:r w:rsidRPr="005D55F6">
        <w:rPr>
          <w:rFonts w:eastAsia="標楷體" w:hAnsi="標楷體"/>
          <w:b/>
          <w:sz w:val="28"/>
          <w:szCs w:val="28"/>
          <w:lang w:val="zh-TW"/>
        </w:rPr>
        <w:t>經費來源</w:t>
      </w:r>
      <w:r w:rsidRPr="008D0997">
        <w:rPr>
          <w:rFonts w:eastAsia="標楷體" w:hAnsi="標楷體"/>
          <w:sz w:val="28"/>
          <w:szCs w:val="28"/>
          <w:lang w:val="zh-TW"/>
        </w:rPr>
        <w:t>：</w:t>
      </w:r>
    </w:p>
    <w:p w:rsidR="005D6980" w:rsidRDefault="005D6980" w:rsidP="00B9703B">
      <w:pPr>
        <w:autoSpaceDE w:val="0"/>
        <w:autoSpaceDN w:val="0"/>
        <w:adjustRightInd w:val="0"/>
        <w:spacing w:beforeLines="50" w:before="180" w:line="480" w:lineRule="exact"/>
        <w:ind w:leftChars="236" w:left="566"/>
        <w:rPr>
          <w:rFonts w:eastAsia="標楷體" w:hAnsi="標楷體"/>
          <w:sz w:val="28"/>
          <w:szCs w:val="28"/>
          <w:lang w:val="zh-TW"/>
        </w:rPr>
      </w:pPr>
      <w:r w:rsidRPr="008D0997">
        <w:rPr>
          <w:rFonts w:eastAsia="標楷體" w:hAnsi="標楷體"/>
          <w:sz w:val="28"/>
          <w:szCs w:val="28"/>
          <w:lang w:val="zh-TW"/>
        </w:rPr>
        <w:t>本中心</w:t>
      </w:r>
      <w:r>
        <w:rPr>
          <w:rFonts w:eastAsia="標楷體" w:hAnsi="標楷體" w:hint="eastAsia"/>
          <w:sz w:val="28"/>
          <w:szCs w:val="28"/>
          <w:lang w:val="zh-TW"/>
        </w:rPr>
        <w:t>之財務收支以</w:t>
      </w:r>
      <w:r w:rsidRPr="008D0997">
        <w:rPr>
          <w:rFonts w:eastAsia="標楷體" w:hAnsi="標楷體"/>
          <w:sz w:val="28"/>
          <w:szCs w:val="28"/>
          <w:lang w:val="zh-TW"/>
        </w:rPr>
        <w:t>自給自足</w:t>
      </w:r>
      <w:r>
        <w:rPr>
          <w:rFonts w:eastAsia="標楷體" w:hAnsi="標楷體" w:hint="eastAsia"/>
          <w:sz w:val="28"/>
          <w:szCs w:val="28"/>
          <w:lang w:val="zh-TW"/>
        </w:rPr>
        <w:t>為</w:t>
      </w:r>
      <w:r w:rsidRPr="008D0997">
        <w:rPr>
          <w:rFonts w:eastAsia="標楷體" w:hAnsi="標楷體"/>
          <w:sz w:val="28"/>
          <w:szCs w:val="28"/>
          <w:lang w:val="zh-TW"/>
        </w:rPr>
        <w:t>原則</w:t>
      </w:r>
      <w:r>
        <w:rPr>
          <w:rFonts w:eastAsia="標楷體" w:hAnsi="標楷體" w:hint="eastAsia"/>
          <w:sz w:val="28"/>
          <w:szCs w:val="28"/>
          <w:lang w:val="zh-TW"/>
        </w:rPr>
        <w:t>，並</w:t>
      </w:r>
      <w:r w:rsidRPr="008D0997">
        <w:rPr>
          <w:rFonts w:eastAsia="標楷體" w:hAnsi="標楷體"/>
          <w:sz w:val="28"/>
          <w:szCs w:val="28"/>
          <w:lang w:val="zh-TW"/>
        </w:rPr>
        <w:t>依</w:t>
      </w:r>
      <w:r>
        <w:rPr>
          <w:rFonts w:eastAsia="標楷體" w:hAnsi="標楷體" w:hint="eastAsia"/>
          <w:sz w:val="28"/>
          <w:szCs w:val="28"/>
          <w:lang w:val="zh-TW"/>
        </w:rPr>
        <w:t>本校</w:t>
      </w:r>
      <w:r w:rsidRPr="008D0997">
        <w:rPr>
          <w:rFonts w:eastAsia="標楷體" w:hAnsi="標楷體"/>
          <w:sz w:val="28"/>
          <w:szCs w:val="28"/>
          <w:lang w:val="zh-TW"/>
        </w:rPr>
        <w:t>相關法令辦理經費報支。</w:t>
      </w:r>
      <w:r w:rsidRPr="004765D1">
        <w:rPr>
          <w:rFonts w:eastAsia="標楷體" w:hAnsi="標楷體" w:hint="eastAsia"/>
          <w:sz w:val="28"/>
          <w:szCs w:val="28"/>
          <w:lang w:val="zh-TW"/>
        </w:rPr>
        <w:t>營運經費來源來自申請政府補助計畫</w:t>
      </w:r>
      <w:r>
        <w:rPr>
          <w:rFonts w:eastAsia="標楷體" w:hAnsi="標楷體" w:hint="eastAsia"/>
          <w:sz w:val="28"/>
          <w:szCs w:val="28"/>
          <w:lang w:val="zh-TW"/>
        </w:rPr>
        <w:t>、</w:t>
      </w:r>
      <w:r w:rsidRPr="004765D1">
        <w:rPr>
          <w:rFonts w:eastAsia="標楷體" w:hAnsi="標楷體" w:hint="eastAsia"/>
          <w:sz w:val="28"/>
          <w:szCs w:val="28"/>
          <w:lang w:val="zh-TW"/>
        </w:rPr>
        <w:t>產學合作</w:t>
      </w:r>
      <w:r>
        <w:rPr>
          <w:rFonts w:eastAsia="標楷體" w:hAnsi="標楷體" w:hint="eastAsia"/>
          <w:sz w:val="28"/>
          <w:szCs w:val="28"/>
          <w:lang w:val="zh-TW"/>
        </w:rPr>
        <w:t>、</w:t>
      </w:r>
      <w:r w:rsidRPr="004765D1">
        <w:rPr>
          <w:rFonts w:eastAsia="標楷體" w:hAnsi="標楷體" w:hint="eastAsia"/>
          <w:sz w:val="28"/>
          <w:szCs w:val="28"/>
          <w:lang w:val="zh-TW"/>
        </w:rPr>
        <w:t>產業資源</w:t>
      </w:r>
      <w:r>
        <w:rPr>
          <w:rFonts w:eastAsia="標楷體" w:hAnsi="標楷體" w:hint="eastAsia"/>
          <w:sz w:val="28"/>
          <w:szCs w:val="28"/>
          <w:lang w:val="zh-TW"/>
        </w:rPr>
        <w:t>、推廣課程和技術產品等</w:t>
      </w:r>
      <w:r w:rsidRPr="004765D1">
        <w:rPr>
          <w:rFonts w:eastAsia="標楷體" w:hAnsi="標楷體" w:hint="eastAsia"/>
          <w:sz w:val="28"/>
          <w:szCs w:val="28"/>
          <w:lang w:val="zh-TW"/>
        </w:rPr>
        <w:t>，</w:t>
      </w:r>
      <w:r>
        <w:rPr>
          <w:rFonts w:eastAsia="標楷體" w:hAnsi="標楷體" w:hint="eastAsia"/>
          <w:sz w:val="28"/>
          <w:szCs w:val="28"/>
          <w:lang w:val="zh-TW"/>
        </w:rPr>
        <w:t>亦可接受學校相關補助支援，</w:t>
      </w:r>
      <w:r w:rsidRPr="004765D1">
        <w:rPr>
          <w:rFonts w:eastAsia="標楷體" w:hAnsi="標楷體" w:hint="eastAsia"/>
          <w:sz w:val="28"/>
          <w:szCs w:val="28"/>
          <w:lang w:val="zh-TW"/>
        </w:rPr>
        <w:t>預計研究</w:t>
      </w:r>
      <w:r>
        <w:rPr>
          <w:rFonts w:eastAsia="標楷體" w:hAnsi="標楷體" w:hint="eastAsia"/>
          <w:sz w:val="28"/>
          <w:szCs w:val="28"/>
          <w:lang w:val="zh-TW"/>
        </w:rPr>
        <w:t>技術成熟後，可增加技術移轉或專利授權等授權資金。</w:t>
      </w:r>
    </w:p>
    <w:p w:rsidR="005D6980" w:rsidRPr="008D0997" w:rsidRDefault="005D6980" w:rsidP="00B9703B">
      <w:pPr>
        <w:numPr>
          <w:ilvl w:val="0"/>
          <w:numId w:val="5"/>
        </w:numPr>
        <w:tabs>
          <w:tab w:val="clear" w:pos="480"/>
        </w:tabs>
        <w:autoSpaceDE w:val="0"/>
        <w:autoSpaceDN w:val="0"/>
        <w:adjustRightInd w:val="0"/>
        <w:spacing w:beforeLines="50" w:before="180" w:line="480" w:lineRule="exact"/>
        <w:ind w:left="567" w:hanging="567"/>
        <w:rPr>
          <w:rFonts w:eastAsia="標楷體"/>
          <w:sz w:val="28"/>
          <w:szCs w:val="28"/>
        </w:rPr>
      </w:pPr>
      <w:r w:rsidRPr="005D55F6">
        <w:rPr>
          <w:rFonts w:eastAsia="標楷體" w:hAnsi="標楷體"/>
          <w:b/>
          <w:sz w:val="28"/>
          <w:szCs w:val="28"/>
          <w:lang w:val="zh-TW"/>
        </w:rPr>
        <w:t>預期成果</w:t>
      </w:r>
      <w:r w:rsidRPr="008D0997">
        <w:rPr>
          <w:rFonts w:eastAsia="標楷體" w:hAnsi="標楷體"/>
          <w:sz w:val="28"/>
          <w:szCs w:val="28"/>
          <w:lang w:val="zh-TW"/>
        </w:rPr>
        <w:t>：</w:t>
      </w:r>
      <w:r>
        <w:rPr>
          <w:rFonts w:eastAsia="標楷體" w:hAnsi="標楷體" w:hint="eastAsia"/>
          <w:sz w:val="28"/>
          <w:szCs w:val="28"/>
          <w:lang w:val="zh-TW"/>
        </w:rPr>
        <w:t>（具體化成果，可分成質化和量化成果分別敘述之）</w:t>
      </w:r>
    </w:p>
    <w:p w:rsidR="005D6980" w:rsidRDefault="005D6980" w:rsidP="005D6980">
      <w:pPr>
        <w:numPr>
          <w:ilvl w:val="0"/>
          <w:numId w:val="10"/>
        </w:numPr>
        <w:tabs>
          <w:tab w:val="clear" w:pos="420"/>
        </w:tabs>
        <w:autoSpaceDE w:val="0"/>
        <w:autoSpaceDN w:val="0"/>
        <w:adjustRightInd w:val="0"/>
        <w:spacing w:line="480" w:lineRule="exact"/>
        <w:ind w:left="567" w:hanging="278"/>
        <w:rPr>
          <w:rFonts w:eastAsia="標楷體"/>
          <w:sz w:val="28"/>
          <w:szCs w:val="28"/>
        </w:rPr>
      </w:pPr>
      <w:r>
        <w:rPr>
          <w:rFonts w:eastAsia="標楷體" w:hint="eastAsia"/>
          <w:sz w:val="28"/>
          <w:szCs w:val="28"/>
        </w:rPr>
        <w:t>學術論文發表：</w:t>
      </w:r>
      <w:r w:rsidRPr="000B76BD">
        <w:rPr>
          <w:rFonts w:eastAsia="標楷體" w:hint="eastAsia"/>
          <w:sz w:val="28"/>
          <w:szCs w:val="28"/>
        </w:rPr>
        <w:t>協助</w:t>
      </w:r>
      <w:r>
        <w:rPr>
          <w:rFonts w:eastAsia="標楷體" w:hint="eastAsia"/>
          <w:sz w:val="28"/>
          <w:szCs w:val="28"/>
        </w:rPr>
        <w:t>學校研究走向學術實用化，不僅能發表論文，並可提升產業技術。預計每年發表二篇以上期刊論文，四篇以上的研討會論文。</w:t>
      </w:r>
    </w:p>
    <w:p w:rsidR="005D6980" w:rsidRDefault="005D6980" w:rsidP="005D6980">
      <w:pPr>
        <w:numPr>
          <w:ilvl w:val="0"/>
          <w:numId w:val="10"/>
        </w:numPr>
        <w:tabs>
          <w:tab w:val="clear" w:pos="420"/>
        </w:tabs>
        <w:autoSpaceDE w:val="0"/>
        <w:autoSpaceDN w:val="0"/>
        <w:adjustRightInd w:val="0"/>
        <w:spacing w:line="480" w:lineRule="exact"/>
        <w:ind w:left="567" w:hanging="278"/>
        <w:rPr>
          <w:rFonts w:eastAsia="標楷體"/>
          <w:sz w:val="28"/>
          <w:szCs w:val="28"/>
        </w:rPr>
      </w:pPr>
      <w:r>
        <w:rPr>
          <w:rFonts w:eastAsia="標楷體" w:hint="eastAsia"/>
          <w:sz w:val="28"/>
          <w:szCs w:val="28"/>
        </w:rPr>
        <w:t>產學及學術研究計畫：與產業界密集研討，每年至少執行二個</w:t>
      </w:r>
      <w:r>
        <w:rPr>
          <w:rFonts w:eastAsia="標楷體" w:hAnsi="標楷體" w:hint="eastAsia"/>
          <w:sz w:val="28"/>
          <w:szCs w:val="28"/>
          <w:lang w:val="zh-TW"/>
        </w:rPr>
        <w:t>政府計畫案和企業委託案。並預期</w:t>
      </w:r>
      <w:r>
        <w:rPr>
          <w:rFonts w:eastAsia="標楷體" w:hint="eastAsia"/>
          <w:sz w:val="28"/>
          <w:szCs w:val="28"/>
        </w:rPr>
        <w:t>結合相關領域學者，在三年中共同研提中、大型或聯盟</w:t>
      </w:r>
      <w:r w:rsidRPr="000B76BD">
        <w:rPr>
          <w:rFonts w:eastAsia="標楷體" w:hint="eastAsia"/>
          <w:sz w:val="28"/>
          <w:szCs w:val="28"/>
        </w:rPr>
        <w:t>計畫。</w:t>
      </w:r>
    </w:p>
    <w:p w:rsidR="005D6980" w:rsidRDefault="005D6980" w:rsidP="005D6980">
      <w:pPr>
        <w:numPr>
          <w:ilvl w:val="0"/>
          <w:numId w:val="10"/>
        </w:numPr>
        <w:tabs>
          <w:tab w:val="clear" w:pos="420"/>
        </w:tabs>
        <w:autoSpaceDE w:val="0"/>
        <w:autoSpaceDN w:val="0"/>
        <w:adjustRightInd w:val="0"/>
        <w:spacing w:line="480" w:lineRule="exact"/>
        <w:ind w:left="567" w:hanging="278"/>
        <w:rPr>
          <w:rFonts w:eastAsia="標楷體"/>
          <w:sz w:val="28"/>
          <w:szCs w:val="28"/>
        </w:rPr>
      </w:pPr>
      <w:r>
        <w:rPr>
          <w:rFonts w:eastAsia="標楷體" w:hint="eastAsia"/>
          <w:sz w:val="28"/>
          <w:szCs w:val="28"/>
        </w:rPr>
        <w:t>三年中至少技術移轉或專利授權一件。</w:t>
      </w:r>
    </w:p>
    <w:p w:rsidR="005D6980" w:rsidRPr="009A2CDF" w:rsidRDefault="005D6980" w:rsidP="005D6980">
      <w:pPr>
        <w:numPr>
          <w:ilvl w:val="0"/>
          <w:numId w:val="10"/>
        </w:numPr>
        <w:tabs>
          <w:tab w:val="clear" w:pos="420"/>
        </w:tabs>
        <w:autoSpaceDE w:val="0"/>
        <w:autoSpaceDN w:val="0"/>
        <w:adjustRightInd w:val="0"/>
        <w:spacing w:line="480" w:lineRule="exact"/>
        <w:ind w:left="567" w:hanging="278"/>
        <w:rPr>
          <w:rFonts w:eastAsia="標楷體"/>
          <w:sz w:val="28"/>
          <w:szCs w:val="28"/>
        </w:rPr>
      </w:pPr>
      <w:r>
        <w:rPr>
          <w:rFonts w:eastAsia="標楷體" w:hint="eastAsia"/>
          <w:sz w:val="28"/>
          <w:szCs w:val="28"/>
        </w:rPr>
        <w:t>三</w:t>
      </w:r>
      <w:r w:rsidRPr="009A2CDF">
        <w:rPr>
          <w:rFonts w:eastAsia="標楷體" w:hint="eastAsia"/>
          <w:sz w:val="28"/>
          <w:szCs w:val="28"/>
        </w:rPr>
        <w:t>年</w:t>
      </w:r>
      <w:r>
        <w:rPr>
          <w:rFonts w:eastAsia="標楷體" w:hint="eastAsia"/>
          <w:sz w:val="28"/>
          <w:szCs w:val="28"/>
        </w:rPr>
        <w:t>內規畫</w:t>
      </w:r>
      <w:r w:rsidRPr="009A2CDF">
        <w:rPr>
          <w:rFonts w:eastAsia="標楷體" w:hint="eastAsia"/>
          <w:sz w:val="28"/>
          <w:szCs w:val="28"/>
        </w:rPr>
        <w:t>舉辦相關預防醫學課程二期，</w:t>
      </w:r>
      <w:r>
        <w:rPr>
          <w:rFonts w:eastAsia="標楷體" w:hint="eastAsia"/>
          <w:sz w:val="28"/>
          <w:szCs w:val="28"/>
        </w:rPr>
        <w:t>每年</w:t>
      </w:r>
      <w:r w:rsidRPr="009A2CDF">
        <w:rPr>
          <w:rFonts w:eastAsia="標楷體" w:hint="eastAsia"/>
          <w:sz w:val="28"/>
          <w:szCs w:val="28"/>
        </w:rPr>
        <w:t>至少</w:t>
      </w:r>
      <w:r>
        <w:rPr>
          <w:rFonts w:eastAsia="標楷體" w:hint="eastAsia"/>
          <w:sz w:val="28"/>
          <w:szCs w:val="28"/>
        </w:rPr>
        <w:t>一</w:t>
      </w:r>
      <w:r w:rsidRPr="009A2CDF">
        <w:rPr>
          <w:rFonts w:eastAsia="標楷體" w:hint="eastAsia"/>
          <w:sz w:val="28"/>
          <w:szCs w:val="28"/>
        </w:rPr>
        <w:t>次專業訓練或工作坊。</w:t>
      </w:r>
    </w:p>
    <w:p w:rsidR="005D6980" w:rsidRPr="00C623B9" w:rsidRDefault="005D6980" w:rsidP="00B9703B">
      <w:pPr>
        <w:numPr>
          <w:ilvl w:val="0"/>
          <w:numId w:val="5"/>
        </w:numPr>
        <w:tabs>
          <w:tab w:val="clear" w:pos="480"/>
        </w:tabs>
        <w:autoSpaceDE w:val="0"/>
        <w:autoSpaceDN w:val="0"/>
        <w:adjustRightInd w:val="0"/>
        <w:spacing w:beforeLines="50" w:before="180" w:afterLines="50" w:after="180" w:line="480" w:lineRule="exact"/>
        <w:ind w:left="567" w:hanging="567"/>
        <w:rPr>
          <w:rFonts w:eastAsia="標楷體"/>
          <w:sz w:val="28"/>
          <w:szCs w:val="28"/>
        </w:rPr>
      </w:pPr>
      <w:r w:rsidRPr="005D55F6">
        <w:rPr>
          <w:rFonts w:eastAsia="標楷體" w:hAnsi="標楷體"/>
          <w:b/>
          <w:sz w:val="28"/>
          <w:szCs w:val="28"/>
          <w:lang w:val="zh-TW"/>
        </w:rPr>
        <w:t>自我評鑑指標及方式</w:t>
      </w:r>
      <w:r w:rsidRPr="008D0997">
        <w:rPr>
          <w:rFonts w:eastAsia="標楷體" w:hAnsi="標楷體"/>
          <w:sz w:val="28"/>
          <w:szCs w:val="28"/>
          <w:lang w:val="zh-TW"/>
        </w:rPr>
        <w:t>：</w:t>
      </w:r>
    </w:p>
    <w:p w:rsidR="005D6980" w:rsidRPr="00C37A1A" w:rsidRDefault="005D6980" w:rsidP="005D6980">
      <w:pPr>
        <w:numPr>
          <w:ilvl w:val="0"/>
          <w:numId w:val="8"/>
        </w:numPr>
        <w:spacing w:line="480" w:lineRule="exact"/>
        <w:rPr>
          <w:rFonts w:eastAsia="標楷體"/>
          <w:color w:val="333333"/>
          <w:sz w:val="28"/>
          <w:szCs w:val="28"/>
        </w:rPr>
      </w:pPr>
      <w:r w:rsidRPr="00C37A1A">
        <w:rPr>
          <w:rFonts w:eastAsia="標楷體" w:hint="eastAsia"/>
          <w:color w:val="333333"/>
          <w:sz w:val="28"/>
          <w:szCs w:val="28"/>
        </w:rPr>
        <w:t>營運方向與設置宗旨之相符性。</w:t>
      </w:r>
    </w:p>
    <w:p w:rsidR="005D6980" w:rsidRPr="00C37A1A" w:rsidRDefault="005D6980" w:rsidP="005D6980">
      <w:pPr>
        <w:numPr>
          <w:ilvl w:val="0"/>
          <w:numId w:val="8"/>
        </w:numPr>
        <w:spacing w:line="480" w:lineRule="exact"/>
        <w:rPr>
          <w:rFonts w:eastAsia="標楷體"/>
          <w:color w:val="333333"/>
          <w:sz w:val="28"/>
          <w:szCs w:val="28"/>
        </w:rPr>
      </w:pPr>
      <w:r>
        <w:rPr>
          <w:rFonts w:eastAsia="標楷體" w:hint="eastAsia"/>
          <w:color w:val="333333"/>
          <w:sz w:val="28"/>
          <w:szCs w:val="28"/>
        </w:rPr>
        <w:t>中心對外爭取之資源（含計畫、</w:t>
      </w:r>
      <w:r w:rsidRPr="00C37A1A">
        <w:rPr>
          <w:rFonts w:eastAsia="標楷體" w:hint="eastAsia"/>
          <w:color w:val="333333"/>
          <w:sz w:val="28"/>
          <w:szCs w:val="28"/>
        </w:rPr>
        <w:t>資產等）及其成效。</w:t>
      </w:r>
      <w:r>
        <w:rPr>
          <w:rFonts w:eastAsia="標楷體" w:hint="eastAsia"/>
          <w:color w:val="333333"/>
          <w:sz w:val="28"/>
          <w:szCs w:val="28"/>
        </w:rPr>
        <w:t>(</w:t>
      </w:r>
      <w:r>
        <w:rPr>
          <w:rFonts w:eastAsia="標楷體" w:hint="eastAsia"/>
          <w:color w:val="333333"/>
          <w:sz w:val="28"/>
          <w:szCs w:val="28"/>
        </w:rPr>
        <w:t>如：計畫件數、金額等</w:t>
      </w:r>
      <w:r>
        <w:rPr>
          <w:rFonts w:eastAsia="標楷體" w:hint="eastAsia"/>
          <w:color w:val="333333"/>
          <w:sz w:val="28"/>
          <w:szCs w:val="28"/>
        </w:rPr>
        <w:t>)</w:t>
      </w:r>
    </w:p>
    <w:p w:rsidR="005D6980" w:rsidRPr="00C37A1A" w:rsidRDefault="005D6980" w:rsidP="005D6980">
      <w:pPr>
        <w:numPr>
          <w:ilvl w:val="0"/>
          <w:numId w:val="8"/>
        </w:numPr>
        <w:spacing w:line="480" w:lineRule="exact"/>
        <w:rPr>
          <w:rFonts w:eastAsia="標楷體"/>
          <w:color w:val="333333"/>
          <w:sz w:val="28"/>
          <w:szCs w:val="28"/>
        </w:rPr>
      </w:pPr>
      <w:r w:rsidRPr="00C37A1A">
        <w:rPr>
          <w:rFonts w:eastAsia="標楷體" w:hint="eastAsia"/>
          <w:color w:val="333333"/>
          <w:sz w:val="28"/>
          <w:szCs w:val="28"/>
        </w:rPr>
        <w:t>中心研究成果、服務活動、人才培訓、以及校內教學研究配合情形與對本校之貢獻。</w:t>
      </w:r>
      <w:r w:rsidRPr="00C37A1A">
        <w:rPr>
          <w:rFonts w:eastAsia="標楷體" w:hint="eastAsia"/>
          <w:color w:val="333333"/>
          <w:sz w:val="28"/>
          <w:szCs w:val="28"/>
        </w:rPr>
        <w:t>(</w:t>
      </w:r>
      <w:r w:rsidRPr="00C37A1A">
        <w:rPr>
          <w:rFonts w:eastAsia="標楷體" w:hint="eastAsia"/>
          <w:color w:val="333333"/>
          <w:sz w:val="28"/>
          <w:szCs w:val="28"/>
        </w:rPr>
        <w:t>如：合作論文發表之數目、舉辦相關研討會、講座、交流活動等</w:t>
      </w:r>
      <w:r w:rsidRPr="00C37A1A">
        <w:rPr>
          <w:rFonts w:eastAsia="標楷體" w:hint="eastAsia"/>
          <w:color w:val="333333"/>
          <w:sz w:val="28"/>
          <w:szCs w:val="28"/>
        </w:rPr>
        <w:t>)</w:t>
      </w:r>
    </w:p>
    <w:p w:rsidR="005D6980" w:rsidRPr="00C37A1A" w:rsidRDefault="005D6980" w:rsidP="005D6980">
      <w:pPr>
        <w:numPr>
          <w:ilvl w:val="0"/>
          <w:numId w:val="8"/>
        </w:numPr>
        <w:spacing w:line="480" w:lineRule="exact"/>
        <w:rPr>
          <w:rFonts w:eastAsia="標楷體"/>
          <w:color w:val="333333"/>
          <w:sz w:val="28"/>
          <w:szCs w:val="28"/>
        </w:rPr>
      </w:pPr>
      <w:r w:rsidRPr="00C37A1A">
        <w:rPr>
          <w:rFonts w:eastAsia="標楷體" w:hint="eastAsia"/>
          <w:color w:val="333333"/>
          <w:sz w:val="28"/>
          <w:szCs w:val="28"/>
        </w:rPr>
        <w:t>參與研究中心營運人員及其具體貢獻與對校內外之影響。</w:t>
      </w:r>
      <w:r w:rsidRPr="00C37A1A">
        <w:rPr>
          <w:rFonts w:eastAsia="標楷體" w:hint="eastAsia"/>
          <w:color w:val="333333"/>
          <w:sz w:val="28"/>
          <w:szCs w:val="28"/>
        </w:rPr>
        <w:t>(</w:t>
      </w:r>
      <w:r w:rsidRPr="00C37A1A">
        <w:rPr>
          <w:rFonts w:eastAsia="標楷體" w:hint="eastAsia"/>
          <w:color w:val="333333"/>
          <w:sz w:val="28"/>
          <w:szCs w:val="28"/>
        </w:rPr>
        <w:t>如：獲獎</w:t>
      </w:r>
      <w:r w:rsidRPr="00C37A1A">
        <w:rPr>
          <w:rFonts w:eastAsia="標楷體" w:hint="eastAsia"/>
          <w:color w:val="333333"/>
          <w:sz w:val="28"/>
          <w:szCs w:val="28"/>
        </w:rPr>
        <w:t>)</w:t>
      </w:r>
    </w:p>
    <w:p w:rsidR="005D6980" w:rsidRPr="00C37A1A" w:rsidRDefault="005D6980" w:rsidP="005D6980">
      <w:pPr>
        <w:numPr>
          <w:ilvl w:val="0"/>
          <w:numId w:val="8"/>
        </w:numPr>
        <w:spacing w:line="480" w:lineRule="exact"/>
        <w:rPr>
          <w:rFonts w:eastAsia="標楷體"/>
          <w:color w:val="333333"/>
          <w:sz w:val="28"/>
          <w:szCs w:val="28"/>
        </w:rPr>
      </w:pPr>
      <w:r w:rsidRPr="00C37A1A">
        <w:rPr>
          <w:rFonts w:eastAsia="標楷體" w:hint="eastAsia"/>
          <w:color w:val="333333"/>
          <w:sz w:val="28"/>
          <w:szCs w:val="28"/>
        </w:rPr>
        <w:t>支薪之專、兼任人員聘僱情形。</w:t>
      </w:r>
      <w:r w:rsidRPr="00C37A1A">
        <w:rPr>
          <w:rFonts w:eastAsia="標楷體" w:hint="eastAsia"/>
          <w:color w:val="333333"/>
          <w:sz w:val="28"/>
          <w:szCs w:val="28"/>
        </w:rPr>
        <w:t>(</w:t>
      </w:r>
      <w:r w:rsidRPr="00C37A1A">
        <w:rPr>
          <w:rFonts w:eastAsia="標楷體" w:hint="eastAsia"/>
          <w:color w:val="333333"/>
          <w:sz w:val="28"/>
          <w:szCs w:val="28"/>
        </w:rPr>
        <w:t>如：工作項目、研究紀錄等</w:t>
      </w:r>
      <w:r w:rsidRPr="00C37A1A">
        <w:rPr>
          <w:rFonts w:eastAsia="標楷體" w:hint="eastAsia"/>
          <w:color w:val="333333"/>
          <w:sz w:val="28"/>
          <w:szCs w:val="28"/>
        </w:rPr>
        <w:t>)</w:t>
      </w:r>
    </w:p>
    <w:p w:rsidR="005D6980" w:rsidRPr="00C37A1A" w:rsidRDefault="005D6980" w:rsidP="005D6980">
      <w:pPr>
        <w:numPr>
          <w:ilvl w:val="0"/>
          <w:numId w:val="8"/>
        </w:numPr>
        <w:tabs>
          <w:tab w:val="clear" w:pos="420"/>
        </w:tabs>
        <w:autoSpaceDE w:val="0"/>
        <w:autoSpaceDN w:val="0"/>
        <w:adjustRightInd w:val="0"/>
        <w:spacing w:line="480" w:lineRule="exact"/>
        <w:ind w:left="567" w:hanging="327"/>
        <w:rPr>
          <w:rFonts w:eastAsia="標楷體" w:hAnsi="標楷體"/>
          <w:sz w:val="28"/>
          <w:szCs w:val="28"/>
          <w:lang w:val="zh-TW"/>
        </w:rPr>
      </w:pPr>
      <w:r w:rsidRPr="00C37A1A">
        <w:rPr>
          <w:rFonts w:eastAsia="標楷體" w:hint="eastAsia"/>
          <w:color w:val="333333"/>
          <w:sz w:val="28"/>
          <w:szCs w:val="28"/>
        </w:rPr>
        <w:lastRenderedPageBreak/>
        <w:t>相關管理制度之建立情形與其他足以顯示中心價值之項目。</w:t>
      </w:r>
      <w:r w:rsidRPr="00C37A1A">
        <w:rPr>
          <w:rFonts w:eastAsia="標楷體" w:hAnsi="標楷體" w:hint="eastAsia"/>
          <w:sz w:val="28"/>
          <w:szCs w:val="28"/>
          <w:lang w:val="zh-TW"/>
        </w:rPr>
        <w:t>（可描述其他教學研究與服務推廣之績效。）</w:t>
      </w:r>
    </w:p>
    <w:p w:rsidR="005D6980" w:rsidRPr="00C37A1A" w:rsidRDefault="005D6980" w:rsidP="005D6980">
      <w:pPr>
        <w:numPr>
          <w:ilvl w:val="0"/>
          <w:numId w:val="8"/>
        </w:numPr>
        <w:spacing w:line="480" w:lineRule="exact"/>
        <w:rPr>
          <w:rFonts w:eastAsia="標楷體"/>
          <w:color w:val="333333"/>
          <w:sz w:val="28"/>
          <w:szCs w:val="28"/>
        </w:rPr>
      </w:pPr>
      <w:r w:rsidRPr="00C37A1A">
        <w:rPr>
          <w:rFonts w:eastAsia="標楷體" w:hint="eastAsia"/>
          <w:color w:val="333333"/>
          <w:sz w:val="28"/>
          <w:szCs w:val="28"/>
        </w:rPr>
        <w:t>次年之展望。</w:t>
      </w:r>
    </w:p>
    <w:p w:rsidR="005D6980" w:rsidRPr="00C37A1A" w:rsidRDefault="005D6980" w:rsidP="005D6980">
      <w:pPr>
        <w:autoSpaceDE w:val="0"/>
        <w:autoSpaceDN w:val="0"/>
        <w:adjustRightInd w:val="0"/>
        <w:spacing w:line="480" w:lineRule="exact"/>
        <w:ind w:left="240"/>
        <w:rPr>
          <w:rFonts w:eastAsia="標楷體" w:hAnsi="標楷體"/>
          <w:sz w:val="28"/>
          <w:szCs w:val="28"/>
          <w:lang w:val="zh-TW"/>
        </w:rPr>
      </w:pPr>
    </w:p>
    <w:p w:rsidR="005D6980" w:rsidRPr="008D0997" w:rsidRDefault="005D6980" w:rsidP="005D6980">
      <w:pPr>
        <w:numPr>
          <w:ilvl w:val="0"/>
          <w:numId w:val="5"/>
        </w:numPr>
        <w:tabs>
          <w:tab w:val="clear" w:pos="480"/>
        </w:tabs>
        <w:autoSpaceDE w:val="0"/>
        <w:autoSpaceDN w:val="0"/>
        <w:adjustRightInd w:val="0"/>
        <w:spacing w:line="480" w:lineRule="exact"/>
        <w:ind w:left="567" w:hanging="567"/>
        <w:rPr>
          <w:rFonts w:eastAsia="標楷體"/>
          <w:sz w:val="28"/>
          <w:szCs w:val="28"/>
        </w:rPr>
      </w:pPr>
      <w:r w:rsidRPr="005D55F6">
        <w:rPr>
          <w:rFonts w:eastAsia="標楷體" w:hAnsi="標楷體"/>
          <w:b/>
          <w:sz w:val="28"/>
          <w:szCs w:val="28"/>
          <w:lang w:val="zh-TW"/>
        </w:rPr>
        <w:t>相關單位配合措施</w:t>
      </w:r>
      <w:r w:rsidRPr="008D0997">
        <w:rPr>
          <w:rFonts w:eastAsia="標楷體" w:hAnsi="標楷體"/>
          <w:sz w:val="28"/>
          <w:szCs w:val="28"/>
          <w:lang w:val="zh-TW"/>
        </w:rPr>
        <w:t>：</w:t>
      </w:r>
    </w:p>
    <w:p w:rsidR="005D6980" w:rsidRPr="00515FAE" w:rsidRDefault="005D6980" w:rsidP="005D6980">
      <w:pPr>
        <w:numPr>
          <w:ilvl w:val="0"/>
          <w:numId w:val="9"/>
        </w:numPr>
        <w:autoSpaceDE w:val="0"/>
        <w:autoSpaceDN w:val="0"/>
        <w:adjustRightInd w:val="0"/>
        <w:spacing w:line="480" w:lineRule="exact"/>
        <w:ind w:left="567" w:hanging="327"/>
        <w:rPr>
          <w:rFonts w:eastAsia="標楷體"/>
          <w:sz w:val="28"/>
          <w:szCs w:val="28"/>
        </w:rPr>
      </w:pPr>
      <w:r>
        <w:rPr>
          <w:rFonts w:eastAsia="標楷體" w:hAnsi="標楷體" w:hint="eastAsia"/>
          <w:sz w:val="28"/>
          <w:szCs w:val="28"/>
          <w:lang w:val="zh-TW"/>
        </w:rPr>
        <w:t>與校方合作：希望校方可提供足夠的研究空間，以利適當的人員配置和設備運作，並可集合許多研究中心成立統籌控管單位，以利資源整合。</w:t>
      </w:r>
    </w:p>
    <w:p w:rsidR="005D6980" w:rsidRPr="00515FAE" w:rsidRDefault="005D6980" w:rsidP="005D6980">
      <w:pPr>
        <w:numPr>
          <w:ilvl w:val="0"/>
          <w:numId w:val="9"/>
        </w:numPr>
        <w:autoSpaceDE w:val="0"/>
        <w:autoSpaceDN w:val="0"/>
        <w:adjustRightInd w:val="0"/>
        <w:spacing w:line="480" w:lineRule="exact"/>
        <w:ind w:left="567" w:hanging="327"/>
        <w:rPr>
          <w:rFonts w:eastAsia="標楷體"/>
          <w:sz w:val="28"/>
          <w:szCs w:val="28"/>
        </w:rPr>
      </w:pPr>
      <w:r>
        <w:rPr>
          <w:rFonts w:eastAsia="標楷體" w:hAnsi="標楷體" w:hint="eastAsia"/>
          <w:sz w:val="28"/>
          <w:szCs w:val="28"/>
          <w:lang w:val="zh-TW"/>
        </w:rPr>
        <w:t>與工學院合作：租借適當空間進行講習及工作坊。</w:t>
      </w:r>
    </w:p>
    <w:p w:rsidR="005D6980" w:rsidRPr="00515FAE" w:rsidRDefault="005D6980" w:rsidP="005D6980">
      <w:pPr>
        <w:numPr>
          <w:ilvl w:val="0"/>
          <w:numId w:val="9"/>
        </w:numPr>
        <w:autoSpaceDE w:val="0"/>
        <w:autoSpaceDN w:val="0"/>
        <w:adjustRightInd w:val="0"/>
        <w:spacing w:line="480" w:lineRule="exact"/>
        <w:ind w:left="567" w:hanging="327"/>
        <w:rPr>
          <w:rFonts w:eastAsia="標楷體"/>
          <w:sz w:val="28"/>
          <w:szCs w:val="28"/>
        </w:rPr>
      </w:pPr>
      <w:r>
        <w:rPr>
          <w:rFonts w:eastAsia="標楷體" w:hAnsi="標楷體" w:hint="eastAsia"/>
          <w:sz w:val="28"/>
          <w:szCs w:val="28"/>
          <w:lang w:val="zh-TW"/>
        </w:rPr>
        <w:t>與化材系合作：藉由化材系的老師實驗室和設備資源進行研究，並租借公共儀器資源進行研究。</w:t>
      </w:r>
    </w:p>
    <w:p w:rsidR="005D6980" w:rsidRPr="00E45391" w:rsidRDefault="005D6980" w:rsidP="005D6980">
      <w:pPr>
        <w:numPr>
          <w:ilvl w:val="0"/>
          <w:numId w:val="9"/>
        </w:numPr>
        <w:autoSpaceDE w:val="0"/>
        <w:autoSpaceDN w:val="0"/>
        <w:adjustRightInd w:val="0"/>
        <w:spacing w:line="480" w:lineRule="exact"/>
        <w:ind w:left="567" w:hanging="327"/>
        <w:rPr>
          <w:rFonts w:eastAsia="標楷體"/>
          <w:sz w:val="28"/>
          <w:szCs w:val="28"/>
        </w:rPr>
      </w:pPr>
      <w:r>
        <w:rPr>
          <w:rFonts w:eastAsia="標楷體" w:hAnsi="標楷體" w:hint="eastAsia"/>
          <w:sz w:val="28"/>
          <w:szCs w:val="28"/>
        </w:rPr>
        <w:t>與生科系合作：與生科系老師合作，借用其部分實驗室和研究資源</w:t>
      </w:r>
      <w:r>
        <w:rPr>
          <w:rFonts w:eastAsia="標楷體" w:hAnsi="標楷體" w:hint="eastAsia"/>
          <w:sz w:val="28"/>
          <w:szCs w:val="28"/>
          <w:lang w:val="zh-TW"/>
        </w:rPr>
        <w:t>。</w:t>
      </w:r>
    </w:p>
    <w:p w:rsidR="005D6980" w:rsidRPr="008D0997" w:rsidRDefault="005D6980" w:rsidP="005D6980">
      <w:pPr>
        <w:numPr>
          <w:ilvl w:val="0"/>
          <w:numId w:val="9"/>
        </w:numPr>
        <w:autoSpaceDE w:val="0"/>
        <w:autoSpaceDN w:val="0"/>
        <w:adjustRightInd w:val="0"/>
        <w:spacing w:line="480" w:lineRule="exact"/>
        <w:ind w:left="567" w:hanging="327"/>
        <w:rPr>
          <w:rFonts w:eastAsia="標楷體"/>
          <w:sz w:val="28"/>
          <w:szCs w:val="28"/>
        </w:rPr>
      </w:pPr>
      <w:r>
        <w:rPr>
          <w:rFonts w:eastAsia="標楷體" w:hAnsi="標楷體" w:hint="eastAsia"/>
          <w:sz w:val="28"/>
          <w:szCs w:val="28"/>
          <w:lang w:val="zh-TW"/>
        </w:rPr>
        <w:t>與外部單位：與台南捐血中心、高雄捐血中心合作取得測試血液；與義守大學或高雄榮總醫院合作進行醫學或臨床評估；與成功大學、中原大學老師合作醫材開發計畫。</w:t>
      </w:r>
    </w:p>
    <w:p w:rsidR="005D6980" w:rsidRDefault="005D6980" w:rsidP="005D6980">
      <w:pPr>
        <w:spacing w:line="400" w:lineRule="exact"/>
        <w:ind w:left="1258" w:hangingChars="393" w:hanging="1258"/>
        <w:rPr>
          <w:rFonts w:ascii="標楷體" w:eastAsia="標楷體" w:hAnsi="標楷體"/>
          <w:sz w:val="32"/>
          <w:szCs w:val="32"/>
        </w:rPr>
      </w:pPr>
    </w:p>
    <w:p w:rsidR="005D6980" w:rsidRDefault="005D6980" w:rsidP="00743BF9">
      <w:pPr>
        <w:spacing w:line="400" w:lineRule="exact"/>
        <w:rPr>
          <w:rFonts w:ascii="標楷體" w:eastAsia="標楷體" w:hAnsi="標楷體"/>
          <w:bCs/>
          <w:sz w:val="32"/>
          <w:szCs w:val="32"/>
        </w:rPr>
      </w:pPr>
    </w:p>
    <w:sectPr w:rsidR="005D6980" w:rsidSect="005D6980">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586" w:rsidRDefault="00797586" w:rsidP="009C05C9">
      <w:r>
        <w:separator/>
      </w:r>
    </w:p>
  </w:endnote>
  <w:endnote w:type="continuationSeparator" w:id="0">
    <w:p w:rsidR="00797586" w:rsidRDefault="00797586" w:rsidP="009C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586" w:rsidRDefault="00797586" w:rsidP="009C05C9">
      <w:r>
        <w:separator/>
      </w:r>
    </w:p>
  </w:footnote>
  <w:footnote w:type="continuationSeparator" w:id="0">
    <w:p w:rsidR="00797586" w:rsidRDefault="00797586" w:rsidP="009C0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D4E"/>
    <w:multiLevelType w:val="hybridMultilevel"/>
    <w:tmpl w:val="8EC47B6E"/>
    <w:lvl w:ilvl="0" w:tplc="652A7F48">
      <w:start w:val="1"/>
      <w:numFmt w:val="taiwaneseCountingThousand"/>
      <w:lvlText w:val="(%1)"/>
      <w:lvlJc w:val="left"/>
      <w:pPr>
        <w:ind w:left="1039" w:hanging="720"/>
      </w:pPr>
      <w:rPr>
        <w:rFonts w:hint="default"/>
        <w:sz w:val="32"/>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 w15:restartNumberingAfterBreak="0">
    <w:nsid w:val="0A312B87"/>
    <w:multiLevelType w:val="hybridMultilevel"/>
    <w:tmpl w:val="6832D5E8"/>
    <w:lvl w:ilvl="0" w:tplc="A1E660D6">
      <w:start w:val="1"/>
      <w:numFmt w:val="taiwaneseCountingThousand"/>
      <w:lvlText w:val="（%1）"/>
      <w:lvlJc w:val="left"/>
      <w:pPr>
        <w:ind w:left="1255" w:hanging="720"/>
      </w:pPr>
      <w:rPr>
        <w:rFonts w:ascii="Times New Roman" w:hAnsi="Times New Roman" w:hint="default"/>
        <w:color w:val="auto"/>
        <w:lang w:val="en-US"/>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 w15:restartNumberingAfterBreak="0">
    <w:nsid w:val="0A4D6F9B"/>
    <w:multiLevelType w:val="hybridMultilevel"/>
    <w:tmpl w:val="6832D5E8"/>
    <w:lvl w:ilvl="0" w:tplc="A1E660D6">
      <w:start w:val="1"/>
      <w:numFmt w:val="taiwaneseCountingThousand"/>
      <w:lvlText w:val="（%1）"/>
      <w:lvlJc w:val="left"/>
      <w:pPr>
        <w:ind w:left="1255" w:hanging="720"/>
      </w:pPr>
      <w:rPr>
        <w:rFonts w:ascii="Times New Roman" w:hAnsi="Times New Roman" w:hint="default"/>
        <w:color w:val="auto"/>
        <w:lang w:val="en-US"/>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3" w15:restartNumberingAfterBreak="0">
    <w:nsid w:val="0F1255E6"/>
    <w:multiLevelType w:val="hybridMultilevel"/>
    <w:tmpl w:val="7A00F2EE"/>
    <w:lvl w:ilvl="0" w:tplc="5BD2EC0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84A5D"/>
    <w:multiLevelType w:val="hybridMultilevel"/>
    <w:tmpl w:val="8EC47B6E"/>
    <w:lvl w:ilvl="0" w:tplc="652A7F48">
      <w:start w:val="1"/>
      <w:numFmt w:val="taiwaneseCountingThousand"/>
      <w:lvlText w:val="(%1)"/>
      <w:lvlJc w:val="left"/>
      <w:pPr>
        <w:ind w:left="1039" w:hanging="720"/>
      </w:pPr>
      <w:rPr>
        <w:rFonts w:hint="default"/>
        <w:sz w:val="32"/>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5" w15:restartNumberingAfterBreak="0">
    <w:nsid w:val="15E81B30"/>
    <w:multiLevelType w:val="hybridMultilevel"/>
    <w:tmpl w:val="7AEE8A5C"/>
    <w:lvl w:ilvl="0" w:tplc="DD78E8C6">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DA33418"/>
    <w:multiLevelType w:val="hybridMultilevel"/>
    <w:tmpl w:val="6832D5E8"/>
    <w:lvl w:ilvl="0" w:tplc="A1E660D6">
      <w:start w:val="1"/>
      <w:numFmt w:val="taiwaneseCountingThousand"/>
      <w:lvlText w:val="（%1）"/>
      <w:lvlJc w:val="left"/>
      <w:pPr>
        <w:ind w:left="1255" w:hanging="720"/>
      </w:pPr>
      <w:rPr>
        <w:rFonts w:ascii="Times New Roman" w:hAnsi="Times New Roman" w:hint="default"/>
        <w:color w:val="auto"/>
        <w:lang w:val="en-US"/>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7" w15:restartNumberingAfterBreak="0">
    <w:nsid w:val="1F6F2D69"/>
    <w:multiLevelType w:val="hybridMultilevel"/>
    <w:tmpl w:val="38EE6A44"/>
    <w:lvl w:ilvl="0" w:tplc="D9FE7350">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26251B73"/>
    <w:multiLevelType w:val="hybridMultilevel"/>
    <w:tmpl w:val="A3D0D43A"/>
    <w:lvl w:ilvl="0" w:tplc="5AD6326E">
      <w:start w:val="1"/>
      <w:numFmt w:val="taiwaneseCountingThousand"/>
      <w:lvlText w:val="（%1）"/>
      <w:lvlJc w:val="left"/>
      <w:pPr>
        <w:ind w:left="1255" w:hanging="720"/>
      </w:pPr>
      <w:rPr>
        <w:rFonts w:ascii="Times New Roman" w:hAnsi="Times New Roman" w:hint="default"/>
        <w:color w:val="auto"/>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9" w15:restartNumberingAfterBreak="0">
    <w:nsid w:val="28574293"/>
    <w:multiLevelType w:val="hybridMultilevel"/>
    <w:tmpl w:val="6832D5E8"/>
    <w:lvl w:ilvl="0" w:tplc="A1E660D6">
      <w:start w:val="1"/>
      <w:numFmt w:val="taiwaneseCountingThousand"/>
      <w:lvlText w:val="（%1）"/>
      <w:lvlJc w:val="left"/>
      <w:pPr>
        <w:ind w:left="1255" w:hanging="720"/>
      </w:pPr>
      <w:rPr>
        <w:rFonts w:ascii="Times New Roman" w:hAnsi="Times New Roman" w:hint="default"/>
        <w:color w:val="auto"/>
        <w:lang w:val="en-US"/>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10" w15:restartNumberingAfterBreak="0">
    <w:nsid w:val="386B1162"/>
    <w:multiLevelType w:val="hybridMultilevel"/>
    <w:tmpl w:val="AAAE7660"/>
    <w:lvl w:ilvl="0" w:tplc="AA481652">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40665370"/>
    <w:multiLevelType w:val="hybridMultilevel"/>
    <w:tmpl w:val="72EC63C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C506C12"/>
    <w:multiLevelType w:val="hybridMultilevel"/>
    <w:tmpl w:val="6832D5E8"/>
    <w:lvl w:ilvl="0" w:tplc="A1E660D6">
      <w:start w:val="1"/>
      <w:numFmt w:val="taiwaneseCountingThousand"/>
      <w:lvlText w:val="（%1）"/>
      <w:lvlJc w:val="left"/>
      <w:pPr>
        <w:ind w:left="1255" w:hanging="720"/>
      </w:pPr>
      <w:rPr>
        <w:rFonts w:ascii="Times New Roman" w:hAnsi="Times New Roman" w:hint="default"/>
        <w:color w:val="auto"/>
        <w:lang w:val="en-US"/>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13" w15:restartNumberingAfterBreak="0">
    <w:nsid w:val="4EA435A1"/>
    <w:multiLevelType w:val="hybridMultilevel"/>
    <w:tmpl w:val="8EC47B6E"/>
    <w:lvl w:ilvl="0" w:tplc="652A7F48">
      <w:start w:val="1"/>
      <w:numFmt w:val="taiwaneseCountingThousand"/>
      <w:lvlText w:val="(%1)"/>
      <w:lvlJc w:val="left"/>
      <w:pPr>
        <w:ind w:left="1039" w:hanging="720"/>
      </w:pPr>
      <w:rPr>
        <w:rFonts w:hint="default"/>
        <w:sz w:val="32"/>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4" w15:restartNumberingAfterBreak="0">
    <w:nsid w:val="4FF81FD2"/>
    <w:multiLevelType w:val="hybridMultilevel"/>
    <w:tmpl w:val="6832D5E8"/>
    <w:lvl w:ilvl="0" w:tplc="A1E660D6">
      <w:start w:val="1"/>
      <w:numFmt w:val="taiwaneseCountingThousand"/>
      <w:lvlText w:val="（%1）"/>
      <w:lvlJc w:val="left"/>
      <w:pPr>
        <w:ind w:left="1255" w:hanging="720"/>
      </w:pPr>
      <w:rPr>
        <w:rFonts w:ascii="Times New Roman" w:hAnsi="Times New Roman" w:hint="default"/>
        <w:color w:val="auto"/>
        <w:lang w:val="en-US"/>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15" w15:restartNumberingAfterBreak="0">
    <w:nsid w:val="5455023A"/>
    <w:multiLevelType w:val="hybridMultilevel"/>
    <w:tmpl w:val="6832D5E8"/>
    <w:lvl w:ilvl="0" w:tplc="A1E660D6">
      <w:start w:val="1"/>
      <w:numFmt w:val="taiwaneseCountingThousand"/>
      <w:lvlText w:val="（%1）"/>
      <w:lvlJc w:val="left"/>
      <w:pPr>
        <w:ind w:left="1255" w:hanging="720"/>
      </w:pPr>
      <w:rPr>
        <w:rFonts w:ascii="Times New Roman" w:hAnsi="Times New Roman" w:hint="default"/>
        <w:color w:val="auto"/>
        <w:lang w:val="en-US"/>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16" w15:restartNumberingAfterBreak="0">
    <w:nsid w:val="5C18405F"/>
    <w:multiLevelType w:val="hybridMultilevel"/>
    <w:tmpl w:val="2642FA12"/>
    <w:lvl w:ilvl="0" w:tplc="9D567BF0">
      <w:start w:val="1"/>
      <w:numFmt w:val="taiwaneseCountingThousand"/>
      <w:lvlText w:val="%1、"/>
      <w:lvlJc w:val="left"/>
      <w:pPr>
        <w:ind w:left="1644" w:hanging="5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5F4B7FD0"/>
    <w:multiLevelType w:val="hybridMultilevel"/>
    <w:tmpl w:val="BFF25FEE"/>
    <w:lvl w:ilvl="0" w:tplc="CE0AE11E">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606B4559"/>
    <w:multiLevelType w:val="hybridMultilevel"/>
    <w:tmpl w:val="F716A21E"/>
    <w:lvl w:ilvl="0" w:tplc="C08C2CAC">
      <w:start w:val="1"/>
      <w:numFmt w:val="ideographLegalTraditional"/>
      <w:lvlText w:val="%1、"/>
      <w:lvlJc w:val="left"/>
      <w:pPr>
        <w:tabs>
          <w:tab w:val="num" w:pos="480"/>
        </w:tabs>
        <w:ind w:left="480" w:hanging="480"/>
      </w:pPr>
      <w:rPr>
        <w:rFonts w:hint="default"/>
        <w:b/>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32B25B5"/>
    <w:multiLevelType w:val="hybridMultilevel"/>
    <w:tmpl w:val="38EE6A44"/>
    <w:lvl w:ilvl="0" w:tplc="D9FE7350">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67154F1D"/>
    <w:multiLevelType w:val="hybridMultilevel"/>
    <w:tmpl w:val="A3D0D43A"/>
    <w:lvl w:ilvl="0" w:tplc="5AD6326E">
      <w:start w:val="1"/>
      <w:numFmt w:val="taiwaneseCountingThousand"/>
      <w:lvlText w:val="（%1）"/>
      <w:lvlJc w:val="left"/>
      <w:pPr>
        <w:ind w:left="1255" w:hanging="720"/>
      </w:pPr>
      <w:rPr>
        <w:rFonts w:ascii="Times New Roman" w:hAnsi="Times New Roman" w:hint="default"/>
        <w:color w:val="auto"/>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1" w15:restartNumberingAfterBreak="0">
    <w:nsid w:val="6B83463E"/>
    <w:multiLevelType w:val="hybridMultilevel"/>
    <w:tmpl w:val="AAAE7660"/>
    <w:lvl w:ilvl="0" w:tplc="AA481652">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5"/>
  </w:num>
  <w:num w:numId="2">
    <w:abstractNumId w:val="4"/>
  </w:num>
  <w:num w:numId="3">
    <w:abstractNumId w:val="13"/>
  </w:num>
  <w:num w:numId="4">
    <w:abstractNumId w:val="0"/>
  </w:num>
  <w:num w:numId="5">
    <w:abstractNumId w:val="18"/>
  </w:num>
  <w:num w:numId="6">
    <w:abstractNumId w:val="17"/>
  </w:num>
  <w:num w:numId="7">
    <w:abstractNumId w:val="19"/>
  </w:num>
  <w:num w:numId="8">
    <w:abstractNumId w:val="21"/>
  </w:num>
  <w:num w:numId="9">
    <w:abstractNumId w:val="10"/>
  </w:num>
  <w:num w:numId="10">
    <w:abstractNumId w:val="7"/>
  </w:num>
  <w:num w:numId="11">
    <w:abstractNumId w:val="3"/>
  </w:num>
  <w:num w:numId="12">
    <w:abstractNumId w:val="8"/>
  </w:num>
  <w:num w:numId="13">
    <w:abstractNumId w:val="14"/>
  </w:num>
  <w:num w:numId="14">
    <w:abstractNumId w:val="20"/>
  </w:num>
  <w:num w:numId="15">
    <w:abstractNumId w:val="1"/>
  </w:num>
  <w:num w:numId="16">
    <w:abstractNumId w:val="6"/>
  </w:num>
  <w:num w:numId="17">
    <w:abstractNumId w:val="9"/>
  </w:num>
  <w:num w:numId="18">
    <w:abstractNumId w:val="11"/>
  </w:num>
  <w:num w:numId="19">
    <w:abstractNumId w:val="15"/>
  </w:num>
  <w:num w:numId="20">
    <w:abstractNumId w:val="2"/>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0F"/>
    <w:rsid w:val="0001367F"/>
    <w:rsid w:val="0004548A"/>
    <w:rsid w:val="00053F06"/>
    <w:rsid w:val="000B0D78"/>
    <w:rsid w:val="001130D4"/>
    <w:rsid w:val="00211F63"/>
    <w:rsid w:val="00233579"/>
    <w:rsid w:val="00284575"/>
    <w:rsid w:val="002A150F"/>
    <w:rsid w:val="003557EB"/>
    <w:rsid w:val="003558D7"/>
    <w:rsid w:val="003B23D4"/>
    <w:rsid w:val="00567CBB"/>
    <w:rsid w:val="005D6980"/>
    <w:rsid w:val="00636F9E"/>
    <w:rsid w:val="00680572"/>
    <w:rsid w:val="006C2271"/>
    <w:rsid w:val="006F53F2"/>
    <w:rsid w:val="00743BF9"/>
    <w:rsid w:val="00745CE2"/>
    <w:rsid w:val="00797586"/>
    <w:rsid w:val="007B0983"/>
    <w:rsid w:val="007E6BA9"/>
    <w:rsid w:val="008D0864"/>
    <w:rsid w:val="009305CB"/>
    <w:rsid w:val="00943600"/>
    <w:rsid w:val="0096788B"/>
    <w:rsid w:val="009809E1"/>
    <w:rsid w:val="009C05C9"/>
    <w:rsid w:val="00A85E58"/>
    <w:rsid w:val="00AE7AC8"/>
    <w:rsid w:val="00AF3781"/>
    <w:rsid w:val="00B9703B"/>
    <w:rsid w:val="00BF2544"/>
    <w:rsid w:val="00C70A4E"/>
    <w:rsid w:val="00D37EFD"/>
    <w:rsid w:val="00E92C4F"/>
    <w:rsid w:val="00EE31B1"/>
    <w:rsid w:val="00F012E7"/>
    <w:rsid w:val="00F648E0"/>
    <w:rsid w:val="00F72263"/>
    <w:rsid w:val="00FD5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F05557-5F1A-4E96-B607-CF91B427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80" w:lineRule="exact"/>
      <w:ind w:leftChars="100" w:left="720" w:hangingChars="200" w:hanging="480"/>
    </w:pPr>
    <w:rPr>
      <w:rFonts w:ascii="標楷體" w:eastAsia="標楷體"/>
      <w:szCs w:val="20"/>
    </w:rPr>
  </w:style>
  <w:style w:type="paragraph" w:styleId="2">
    <w:name w:val="Body Text Indent 2"/>
    <w:basedOn w:val="a"/>
    <w:pPr>
      <w:spacing w:line="480" w:lineRule="exact"/>
      <w:ind w:left="1258" w:hangingChars="393" w:hanging="1258"/>
    </w:pPr>
    <w:rPr>
      <w:rFonts w:ascii="標楷體" w:eastAsia="標楷體" w:hAnsi="標楷體"/>
      <w:bCs/>
      <w:sz w:val="32"/>
    </w:rPr>
  </w:style>
  <w:style w:type="paragraph" w:styleId="a5">
    <w:name w:val="header"/>
    <w:basedOn w:val="a"/>
    <w:link w:val="a6"/>
    <w:uiPriority w:val="99"/>
    <w:unhideWhenUsed/>
    <w:rsid w:val="009C05C9"/>
    <w:pPr>
      <w:tabs>
        <w:tab w:val="center" w:pos="4153"/>
        <w:tab w:val="right" w:pos="8306"/>
      </w:tabs>
      <w:snapToGrid w:val="0"/>
    </w:pPr>
    <w:rPr>
      <w:sz w:val="20"/>
      <w:szCs w:val="20"/>
    </w:rPr>
  </w:style>
  <w:style w:type="character" w:customStyle="1" w:styleId="a6">
    <w:name w:val="頁首 字元"/>
    <w:link w:val="a5"/>
    <w:uiPriority w:val="99"/>
    <w:rsid w:val="009C05C9"/>
    <w:rPr>
      <w:kern w:val="2"/>
    </w:rPr>
  </w:style>
  <w:style w:type="paragraph" w:styleId="a7">
    <w:name w:val="footer"/>
    <w:basedOn w:val="a"/>
    <w:link w:val="a8"/>
    <w:uiPriority w:val="99"/>
    <w:unhideWhenUsed/>
    <w:rsid w:val="009C05C9"/>
    <w:pPr>
      <w:tabs>
        <w:tab w:val="center" w:pos="4153"/>
        <w:tab w:val="right" w:pos="8306"/>
      </w:tabs>
      <w:snapToGrid w:val="0"/>
    </w:pPr>
    <w:rPr>
      <w:sz w:val="20"/>
      <w:szCs w:val="20"/>
    </w:rPr>
  </w:style>
  <w:style w:type="character" w:customStyle="1" w:styleId="a8">
    <w:name w:val="頁尾 字元"/>
    <w:link w:val="a7"/>
    <w:uiPriority w:val="99"/>
    <w:rsid w:val="009C05C9"/>
    <w:rPr>
      <w:kern w:val="2"/>
    </w:rPr>
  </w:style>
  <w:style w:type="table" w:styleId="a9">
    <w:name w:val="Table Grid"/>
    <w:basedOn w:val="a1"/>
    <w:uiPriority w:val="99"/>
    <w:rsid w:val="005D698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字元 字元, 字元 字元"/>
    <w:basedOn w:val="a"/>
    <w:link w:val="ab"/>
    <w:rsid w:val="005D6980"/>
    <w:pPr>
      <w:adjustRightInd w:val="0"/>
      <w:spacing w:line="360" w:lineRule="atLeast"/>
    </w:pPr>
    <w:rPr>
      <w:rFonts w:ascii="細明體" w:eastAsia="細明體" w:hAnsi="Courier New"/>
      <w:kern w:val="0"/>
      <w:szCs w:val="20"/>
    </w:rPr>
  </w:style>
  <w:style w:type="character" w:customStyle="1" w:styleId="ab">
    <w:name w:val="純文字 字元"/>
    <w:aliases w:val="字元 字元 字元, 字元 字元 字元"/>
    <w:link w:val="aa"/>
    <w:rsid w:val="005D6980"/>
    <w:rPr>
      <w:rFonts w:ascii="細明體" w:eastAsia="細明體" w:hAnsi="Courier New"/>
      <w:sz w:val="24"/>
    </w:rPr>
  </w:style>
  <w:style w:type="paragraph" w:styleId="ac">
    <w:name w:val="footnote text"/>
    <w:basedOn w:val="a"/>
    <w:link w:val="ad"/>
    <w:rsid w:val="005D6980"/>
    <w:pPr>
      <w:snapToGrid w:val="0"/>
    </w:pPr>
    <w:rPr>
      <w:sz w:val="20"/>
      <w:szCs w:val="20"/>
    </w:rPr>
  </w:style>
  <w:style w:type="character" w:customStyle="1" w:styleId="ad">
    <w:name w:val="註腳文字 字元"/>
    <w:link w:val="ac"/>
    <w:rsid w:val="005D6980"/>
    <w:rPr>
      <w:kern w:val="2"/>
    </w:rPr>
  </w:style>
  <w:style w:type="character" w:styleId="ae">
    <w:name w:val="footnote reference"/>
    <w:rsid w:val="005D6980"/>
    <w:rPr>
      <w:rFonts w:cs="Times New Roman"/>
      <w:vertAlign w:val="superscript"/>
    </w:rPr>
  </w:style>
  <w:style w:type="paragraph" w:styleId="af">
    <w:name w:val="List Paragraph"/>
    <w:basedOn w:val="a"/>
    <w:uiPriority w:val="99"/>
    <w:qFormat/>
    <w:rsid w:val="005D6980"/>
    <w:pPr>
      <w:ind w:leftChars="200" w:left="480"/>
    </w:pPr>
  </w:style>
  <w:style w:type="paragraph" w:styleId="af0">
    <w:name w:val="Balloon Text"/>
    <w:basedOn w:val="a"/>
    <w:link w:val="af1"/>
    <w:uiPriority w:val="99"/>
    <w:semiHidden/>
    <w:unhideWhenUsed/>
    <w:rsid w:val="00AE7AC8"/>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E7A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6DBC-67A4-4394-AFC7-88179B94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645</Words>
  <Characters>3679</Characters>
  <Application>Microsoft Office Word</Application>
  <DocSecurity>0</DocSecurity>
  <Lines>30</Lines>
  <Paragraphs>8</Paragraphs>
  <ScaleCrop>false</ScaleCrop>
  <Company>Sky123.Org</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國立高雄大學第    次行政會議提案單：</dc:title>
  <dc:creator>user</dc:creator>
  <cp:lastModifiedBy>superuser</cp:lastModifiedBy>
  <cp:revision>2</cp:revision>
  <cp:lastPrinted>2014-10-27T08:15:00Z</cp:lastPrinted>
  <dcterms:created xsi:type="dcterms:W3CDTF">2018-01-30T06:31:00Z</dcterms:created>
  <dcterms:modified xsi:type="dcterms:W3CDTF">2018-01-30T06:31:00Z</dcterms:modified>
</cp:coreProperties>
</file>